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E87EA" w14:textId="2A255739" w:rsidR="00A90D77" w:rsidRPr="00BB38B8" w:rsidRDefault="00833330" w:rsidP="00833330">
      <w:pPr>
        <w:pStyle w:val="Nagwek1"/>
        <w:spacing w:after="240"/>
        <w:rPr>
          <w:color w:val="1F3864" w:themeColor="accent1" w:themeShade="80"/>
        </w:rPr>
      </w:pPr>
      <w:r w:rsidRPr="00BB38B8">
        <w:rPr>
          <w:color w:val="1F3864" w:themeColor="accent1" w:themeShade="80"/>
        </w:rPr>
        <w:t>ZMIANY W USTAWIE O PRZEMOCY DOMOWEJ – NIEZBĘDNIK PRAWNY</w:t>
      </w:r>
    </w:p>
    <w:bookmarkStart w:id="0" w:name="_Toc132287698" w:displacedByCustomXml="next"/>
    <w:sdt>
      <w:sdtPr>
        <w:rPr>
          <w:rFonts w:eastAsiaTheme="minorHAnsi" w:cstheme="minorBidi"/>
          <w:b w:val="0"/>
          <w:color w:val="auto"/>
          <w:szCs w:val="22"/>
        </w:rPr>
        <w:id w:val="-75285443"/>
        <w:docPartObj>
          <w:docPartGallery w:val="Table of Contents"/>
          <w:docPartUnique/>
        </w:docPartObj>
      </w:sdtPr>
      <w:sdtEndPr>
        <w:rPr>
          <w:bCs/>
          <w:color w:val="2F5496" w:themeColor="accent1" w:themeShade="BF"/>
        </w:rPr>
      </w:sdtEndPr>
      <w:sdtContent>
        <w:p w14:paraId="6CA3080B" w14:textId="77777777" w:rsidR="00833330" w:rsidRPr="00F67A83" w:rsidRDefault="00833330" w:rsidP="00833330">
          <w:pPr>
            <w:pStyle w:val="Nagwek2"/>
            <w:spacing w:line="276" w:lineRule="auto"/>
            <w:rPr>
              <w:szCs w:val="20"/>
            </w:rPr>
          </w:pPr>
          <w:r w:rsidRPr="00BB38B8">
            <w:rPr>
              <w:color w:val="1F3864" w:themeColor="accent1" w:themeShade="80"/>
            </w:rPr>
            <w:t>Spis treści</w:t>
          </w:r>
          <w:bookmarkEnd w:id="0"/>
          <w:r>
            <w:br/>
          </w:r>
        </w:p>
        <w:p w14:paraId="4578704D" w14:textId="77777777" w:rsidR="00833330" w:rsidRDefault="00833330" w:rsidP="00833330">
          <w:pPr>
            <w:pStyle w:val="Spistreci2"/>
            <w:tabs>
              <w:tab w:val="right" w:leader="dot" w:pos="6509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 w:rsidRPr="005F4EF5">
            <w:rPr>
              <w:rFonts w:cs="Arial"/>
              <w:noProof/>
              <w:color w:val="2F5496" w:themeColor="accent1" w:themeShade="BF"/>
              <w:szCs w:val="20"/>
            </w:rPr>
            <w:fldChar w:fldCharType="begin"/>
          </w:r>
          <w:r w:rsidRPr="005F4EF5">
            <w:rPr>
              <w:rFonts w:cs="Arial"/>
              <w:color w:val="2F5496" w:themeColor="accent1" w:themeShade="BF"/>
              <w:szCs w:val="20"/>
            </w:rPr>
            <w:instrText xml:space="preserve"> TOC \o "1-3" \h \z \u </w:instrText>
          </w:r>
          <w:r w:rsidRPr="005F4EF5">
            <w:rPr>
              <w:rFonts w:cs="Arial"/>
              <w:noProof/>
              <w:color w:val="2F5496" w:themeColor="accent1" w:themeShade="BF"/>
              <w:szCs w:val="20"/>
            </w:rPr>
            <w:fldChar w:fldCharType="separate"/>
          </w:r>
          <w:hyperlink w:anchor="_Toc132287698" w:history="1">
            <w:r w:rsidRPr="00E850A1">
              <w:rPr>
                <w:rStyle w:val="Hipercze"/>
                <w:noProof/>
              </w:rPr>
              <w:t>Spis treści</w:t>
            </w:r>
            <w:r>
              <w:rPr>
                <w:noProof/>
                <w:webHidden/>
              </w:rPr>
              <w:tab/>
            </w:r>
            <w:r w:rsidRPr="005C3122">
              <w:rPr>
                <w:b/>
                <w:bCs/>
                <w:noProof/>
                <w:webHidden/>
              </w:rPr>
              <w:fldChar w:fldCharType="begin"/>
            </w:r>
            <w:r w:rsidRPr="005C3122">
              <w:rPr>
                <w:b/>
                <w:bCs/>
                <w:noProof/>
                <w:webHidden/>
              </w:rPr>
              <w:instrText xml:space="preserve"> PAGEREF _Toc132287698 \h </w:instrText>
            </w:r>
            <w:r w:rsidRPr="005C3122">
              <w:rPr>
                <w:b/>
                <w:bCs/>
                <w:noProof/>
                <w:webHidden/>
              </w:rPr>
            </w:r>
            <w:r w:rsidRPr="005C3122">
              <w:rPr>
                <w:b/>
                <w:bCs/>
                <w:noProof/>
                <w:webHidden/>
              </w:rPr>
              <w:fldChar w:fldCharType="separate"/>
            </w:r>
            <w:r w:rsidRPr="005C3122">
              <w:rPr>
                <w:b/>
                <w:bCs/>
                <w:noProof/>
                <w:webHidden/>
              </w:rPr>
              <w:t>2</w:t>
            </w:r>
            <w:r w:rsidRPr="005C3122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8791FCD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699" w:history="1">
            <w:r w:rsidR="00833330" w:rsidRPr="00E850A1">
              <w:rPr>
                <w:rStyle w:val="Hipercze"/>
              </w:rPr>
              <w:t>1.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Wstęp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_Toc132287699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2</w:t>
            </w:r>
            <w:r w:rsidR="00833330">
              <w:rPr>
                <w:webHidden/>
              </w:rPr>
              <w:fldChar w:fldCharType="end"/>
            </w:r>
          </w:hyperlink>
        </w:p>
        <w:p w14:paraId="19C5CF8B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0" w:history="1">
            <w:r w:rsidR="00833330" w:rsidRPr="00E850A1">
              <w:rPr>
                <w:rStyle w:val="Hipercze"/>
              </w:rPr>
              <w:t>2.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Co zmienia znowelizowana ustawa antyprzemocowa?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_Toc132287700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4</w:t>
            </w:r>
            <w:r w:rsidR="00833330">
              <w:rPr>
                <w:webHidden/>
              </w:rPr>
              <w:fldChar w:fldCharType="end"/>
            </w:r>
          </w:hyperlink>
        </w:p>
        <w:p w14:paraId="54B7D9B1" w14:textId="663E5874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1" w:history="1">
            <w:r w:rsidR="00833330" w:rsidRPr="00E850A1">
              <w:rPr>
                <w:rStyle w:val="Hipercze"/>
              </w:rPr>
              <w:t>3.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Nowa definicja przemocy domowej: nie w rodzinie, a w domu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_Toc132287701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4</w:t>
            </w:r>
            <w:r w:rsidR="00833330">
              <w:rPr>
                <w:webHidden/>
              </w:rPr>
              <w:fldChar w:fldCharType="end"/>
            </w:r>
          </w:hyperlink>
        </w:p>
        <w:p w14:paraId="2C273F1B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2" w:history="1">
            <w:r w:rsidR="00833330" w:rsidRPr="00E850A1">
              <w:rPr>
                <w:rStyle w:val="Hipercze"/>
              </w:rPr>
              <w:t>4.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Kto będzie chroniony?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_Toc132287702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6</w:t>
            </w:r>
            <w:r w:rsidR="00833330">
              <w:rPr>
                <w:webHidden/>
              </w:rPr>
              <w:fldChar w:fldCharType="end"/>
            </w:r>
          </w:hyperlink>
        </w:p>
        <w:p w14:paraId="78ACC68C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3" w:history="1">
            <w:r w:rsidR="00833330" w:rsidRPr="00E850A1">
              <w:rPr>
                <w:rStyle w:val="Hipercze"/>
              </w:rPr>
              <w:t>5.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Zmiany w procedurze niebieskiej karty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_Toc132287703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7</w:t>
            </w:r>
            <w:r w:rsidR="00833330">
              <w:rPr>
                <w:webHidden/>
              </w:rPr>
              <w:fldChar w:fldCharType="end"/>
            </w:r>
          </w:hyperlink>
        </w:p>
        <w:p w14:paraId="1749DD9A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4" w:history="1">
            <w:r w:rsidR="00833330" w:rsidRPr="00E850A1">
              <w:rPr>
                <w:rStyle w:val="Hipercze"/>
              </w:rPr>
              <w:t>6.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Kwalifikacje dla osób kierujących ośrodkami dla ofiar przemocy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_Toc132287704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7</w:t>
            </w:r>
            <w:r w:rsidR="00833330">
              <w:rPr>
                <w:webHidden/>
              </w:rPr>
              <w:fldChar w:fldCharType="end"/>
            </w:r>
          </w:hyperlink>
        </w:p>
        <w:p w14:paraId="07C7106D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5" w:history="1">
            <w:r w:rsidR="00833330" w:rsidRPr="00E850A1">
              <w:rPr>
                <w:rStyle w:val="Hipercze"/>
              </w:rPr>
              <w:t>7.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Kto stosuje przemoc domową?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_Toc132287705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8</w:t>
            </w:r>
            <w:r w:rsidR="00833330">
              <w:rPr>
                <w:webHidden/>
              </w:rPr>
              <w:fldChar w:fldCharType="end"/>
            </w:r>
          </w:hyperlink>
        </w:p>
        <w:p w14:paraId="7ACDD0E7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6" w:history="1">
            <w:r w:rsidR="00833330" w:rsidRPr="00E850A1">
              <w:rPr>
                <w:rStyle w:val="Hipercze"/>
              </w:rPr>
              <w:t>8.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>Programy psychologiczno-terapeutyczne  dla sprawców przemocy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_Toc132287706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8</w:t>
            </w:r>
            <w:r w:rsidR="00833330">
              <w:rPr>
                <w:webHidden/>
              </w:rPr>
              <w:fldChar w:fldCharType="end"/>
            </w:r>
          </w:hyperlink>
        </w:p>
        <w:p w14:paraId="44D42DAC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7" w:history="1">
            <w:r w:rsidR="00833330" w:rsidRPr="00E850A1">
              <w:rPr>
                <w:rStyle w:val="Hipercze"/>
              </w:rPr>
              <w:t>9.</w:t>
            </w:r>
            <w:r w:rsidR="00833330">
              <w:rPr>
                <w:rFonts w:asciiTheme="minorHAnsi" w:eastAsiaTheme="minorEastAsia" w:hAnsiTheme="minorHAnsi"/>
                <w:b w:val="0"/>
                <w:bCs w:val="0"/>
                <w:sz w:val="22"/>
                <w:lang w:eastAsia="pl-PL"/>
              </w:rPr>
              <w:tab/>
            </w:r>
            <w:r w:rsidR="00833330" w:rsidRPr="008318DA">
              <w:rPr>
                <w:rStyle w:val="Hipercze"/>
                <w:b w:val="0"/>
                <w:bCs w:val="0"/>
              </w:rPr>
              <w:t xml:space="preserve">Policja zakaże zbliżania się i kontaktowania „przemocowca” </w:t>
            </w:r>
            <w:r w:rsidR="00833330">
              <w:rPr>
                <w:rStyle w:val="Hipercze"/>
                <w:b w:val="0"/>
                <w:bCs w:val="0"/>
              </w:rPr>
              <w:br/>
              <w:t xml:space="preserve">        </w:t>
            </w:r>
            <w:r w:rsidR="00833330" w:rsidRPr="008318DA">
              <w:rPr>
                <w:rStyle w:val="Hipercze"/>
                <w:b w:val="0"/>
                <w:bCs w:val="0"/>
              </w:rPr>
              <w:t>z osobą, którą krzywdzi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_Toc132287707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8</w:t>
            </w:r>
            <w:r w:rsidR="00833330">
              <w:rPr>
                <w:webHidden/>
              </w:rPr>
              <w:fldChar w:fldCharType="end"/>
            </w:r>
          </w:hyperlink>
        </w:p>
        <w:p w14:paraId="1AE8EDC9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8" w:history="1">
            <w:r w:rsidR="00833330" w:rsidRPr="00E850A1">
              <w:rPr>
                <w:rStyle w:val="Hipercze"/>
              </w:rPr>
              <w:t xml:space="preserve">10. </w:t>
            </w:r>
            <w:r w:rsidR="00833330">
              <w:rPr>
                <w:rStyle w:val="Hipercze"/>
              </w:rPr>
              <w:t xml:space="preserve">  </w:t>
            </w:r>
            <w:r w:rsidR="00833330" w:rsidRPr="008318DA">
              <w:rPr>
                <w:rStyle w:val="Hipercze"/>
                <w:b w:val="0"/>
                <w:bCs w:val="0"/>
              </w:rPr>
              <w:t>Zakaz kontaktu za stalking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_Toc132287708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10</w:t>
            </w:r>
            <w:r w:rsidR="00833330">
              <w:rPr>
                <w:webHidden/>
              </w:rPr>
              <w:fldChar w:fldCharType="end"/>
            </w:r>
          </w:hyperlink>
        </w:p>
        <w:p w14:paraId="74F70ABD" w14:textId="77777777" w:rsidR="00833330" w:rsidRDefault="00000000" w:rsidP="00833330">
          <w:pPr>
            <w:pStyle w:val="Spistreci1"/>
            <w:rPr>
              <w:rFonts w:asciiTheme="minorHAnsi" w:eastAsiaTheme="minorEastAsia" w:hAnsiTheme="minorHAnsi"/>
              <w:b w:val="0"/>
              <w:bCs w:val="0"/>
              <w:sz w:val="22"/>
              <w:lang w:eastAsia="pl-PL"/>
            </w:rPr>
          </w:pPr>
          <w:hyperlink w:anchor="_Toc132287709" w:history="1">
            <w:r w:rsidR="00833330" w:rsidRPr="00E850A1">
              <w:rPr>
                <w:rStyle w:val="Hipercze"/>
              </w:rPr>
              <w:t xml:space="preserve">11. </w:t>
            </w:r>
            <w:r w:rsidR="00833330">
              <w:rPr>
                <w:rStyle w:val="Hipercze"/>
              </w:rPr>
              <w:t xml:space="preserve">  </w:t>
            </w:r>
            <w:r w:rsidR="00833330" w:rsidRPr="008318DA">
              <w:rPr>
                <w:rStyle w:val="Hipercze"/>
                <w:b w:val="0"/>
                <w:bCs w:val="0"/>
              </w:rPr>
              <w:t>Gdzie uzyskać pomoc?</w:t>
            </w:r>
            <w:r w:rsidR="00833330" w:rsidRPr="008318DA">
              <w:rPr>
                <w:b w:val="0"/>
                <w:bCs w:val="0"/>
                <w:webHidden/>
              </w:rPr>
              <w:tab/>
            </w:r>
            <w:r w:rsidR="00833330">
              <w:rPr>
                <w:webHidden/>
              </w:rPr>
              <w:fldChar w:fldCharType="begin"/>
            </w:r>
            <w:r w:rsidR="00833330">
              <w:rPr>
                <w:webHidden/>
              </w:rPr>
              <w:instrText xml:space="preserve"> PAGEREF _Toc132287709 \h </w:instrText>
            </w:r>
            <w:r w:rsidR="00833330">
              <w:rPr>
                <w:webHidden/>
              </w:rPr>
            </w:r>
            <w:r w:rsidR="00833330">
              <w:rPr>
                <w:webHidden/>
              </w:rPr>
              <w:fldChar w:fldCharType="separate"/>
            </w:r>
            <w:r w:rsidR="00833330">
              <w:rPr>
                <w:webHidden/>
              </w:rPr>
              <w:t>10</w:t>
            </w:r>
            <w:r w:rsidR="00833330">
              <w:rPr>
                <w:webHidden/>
              </w:rPr>
              <w:fldChar w:fldCharType="end"/>
            </w:r>
          </w:hyperlink>
        </w:p>
        <w:p w14:paraId="30B00B02" w14:textId="45FE47B1" w:rsidR="00833330" w:rsidRPr="00833330" w:rsidRDefault="00833330" w:rsidP="00833330">
          <w:pPr>
            <w:pStyle w:val="Spistreci2"/>
            <w:tabs>
              <w:tab w:val="right" w:leader="dot" w:pos="6509"/>
            </w:tabs>
            <w:spacing w:line="276" w:lineRule="auto"/>
            <w:rPr>
              <w:bCs/>
              <w:color w:val="2F5496" w:themeColor="accent1" w:themeShade="BF"/>
            </w:rPr>
          </w:pPr>
          <w:r w:rsidRPr="005F4EF5">
            <w:rPr>
              <w:rFonts w:cs="Arial"/>
              <w:b/>
              <w:bCs/>
              <w:color w:val="2F5496" w:themeColor="accent1" w:themeShade="BF"/>
              <w:szCs w:val="20"/>
            </w:rPr>
            <w:fldChar w:fldCharType="end"/>
          </w:r>
          <w:r w:rsidRPr="00370B89">
            <w:rPr>
              <w:noProof/>
            </w:rPr>
            <w:t xml:space="preserve"> </w:t>
          </w:r>
        </w:p>
      </w:sdtContent>
    </w:sdt>
    <w:p w14:paraId="70025213" w14:textId="1F7A7D57" w:rsidR="001E395D" w:rsidRPr="00F64427" w:rsidRDefault="00074F91" w:rsidP="00EB4A1E">
      <w:pPr>
        <w:jc w:val="center"/>
        <w:rPr>
          <w:noProof/>
        </w:rPr>
      </w:pPr>
      <w:r w:rsidRPr="00074F91">
        <w:rPr>
          <w:noProof/>
        </w:rPr>
        <w:t xml:space="preserve"> </w:t>
      </w:r>
    </w:p>
    <w:p w14:paraId="7AF4F51B" w14:textId="0A532266" w:rsidR="00850DC3" w:rsidRPr="00BB38B8" w:rsidRDefault="00850DC3" w:rsidP="00833330">
      <w:pPr>
        <w:pStyle w:val="Nagwek2"/>
        <w:rPr>
          <w:color w:val="1F3864" w:themeColor="accent1" w:themeShade="80"/>
        </w:rPr>
      </w:pPr>
      <w:bookmarkStart w:id="1" w:name="_Toc132287699"/>
      <w:r w:rsidRPr="00BB38B8">
        <w:rPr>
          <w:color w:val="1F3864" w:themeColor="accent1" w:themeShade="80"/>
        </w:rPr>
        <w:t>Wstęp</w:t>
      </w:r>
      <w:bookmarkEnd w:id="1"/>
    </w:p>
    <w:p w14:paraId="214FCA61" w14:textId="77777777" w:rsidR="00517585" w:rsidRDefault="00517585" w:rsidP="00833330">
      <w:pPr>
        <w:shd w:val="clear" w:color="auto" w:fill="FFFFFF"/>
        <w:spacing w:before="240" w:after="0" w:line="360" w:lineRule="auto"/>
        <w:rPr>
          <w:rFonts w:cstheme="minorHAnsi"/>
        </w:rPr>
      </w:pPr>
      <w:r w:rsidRPr="00517585">
        <w:rPr>
          <w:rFonts w:cstheme="minorHAnsi"/>
        </w:rPr>
        <w:t>Przemoc domowa jest zjawiskiem coraz bardziej powszechnym i niesie za sobą dotkliwe</w:t>
      </w:r>
      <w:r>
        <w:rPr>
          <w:rFonts w:cstheme="minorHAnsi"/>
        </w:rPr>
        <w:t xml:space="preserve"> </w:t>
      </w:r>
      <w:r w:rsidRPr="00517585">
        <w:rPr>
          <w:rFonts w:cstheme="minorHAnsi"/>
        </w:rPr>
        <w:t>konsekwencje dla wszystkich osób, których dotyka, zarówno ofiar, sprawców, jak również</w:t>
      </w:r>
      <w:r>
        <w:rPr>
          <w:rFonts w:cstheme="minorHAnsi"/>
        </w:rPr>
        <w:t xml:space="preserve"> </w:t>
      </w:r>
      <w:r w:rsidRPr="00517585">
        <w:rPr>
          <w:rFonts w:cstheme="minorHAnsi"/>
        </w:rPr>
        <w:t>świadków jej stosowania.</w:t>
      </w:r>
      <w:r>
        <w:rPr>
          <w:rFonts w:cstheme="minorHAnsi"/>
        </w:rPr>
        <w:t xml:space="preserve"> </w:t>
      </w:r>
      <w:r w:rsidRPr="00517585">
        <w:rPr>
          <w:rFonts w:cstheme="minorHAnsi"/>
        </w:rPr>
        <w:t>Aby skutecznie jej zapobiegać Sejm na początku 2023 roku uchwalił nowelizację dwóch</w:t>
      </w:r>
      <w:r>
        <w:rPr>
          <w:rFonts w:cstheme="minorHAnsi"/>
        </w:rPr>
        <w:t xml:space="preserve"> </w:t>
      </w:r>
      <w:r w:rsidRPr="00517585">
        <w:rPr>
          <w:rFonts w:cstheme="minorHAnsi"/>
        </w:rPr>
        <w:t>ważnych ustaw</w:t>
      </w:r>
      <w:r>
        <w:rPr>
          <w:rFonts w:cstheme="minorHAnsi"/>
        </w:rPr>
        <w:t>:</w:t>
      </w:r>
    </w:p>
    <w:p w14:paraId="6F5F15A0" w14:textId="064CE179" w:rsidR="00517585" w:rsidRDefault="00517585" w:rsidP="00833330">
      <w:pPr>
        <w:pStyle w:val="Akapitzlist"/>
        <w:numPr>
          <w:ilvl w:val="0"/>
          <w:numId w:val="45"/>
        </w:numPr>
        <w:shd w:val="clear" w:color="auto" w:fill="FFFFFF"/>
        <w:spacing w:before="240" w:after="0" w:line="360" w:lineRule="auto"/>
        <w:rPr>
          <w:rFonts w:cstheme="minorHAnsi"/>
        </w:rPr>
      </w:pPr>
      <w:r w:rsidRPr="00517585">
        <w:rPr>
          <w:rFonts w:cstheme="minorHAnsi"/>
        </w:rPr>
        <w:t xml:space="preserve">Ustawy </w:t>
      </w:r>
      <w:proofErr w:type="spellStart"/>
      <w:r w:rsidRPr="00517585">
        <w:rPr>
          <w:rFonts w:cstheme="minorHAnsi"/>
        </w:rPr>
        <w:t>antyprzemocowej</w:t>
      </w:r>
      <w:proofErr w:type="spellEnd"/>
      <w:r w:rsidRPr="00517585">
        <w:rPr>
          <w:rFonts w:cstheme="minorHAnsi"/>
        </w:rPr>
        <w:t xml:space="preserve"> z dnia 9 marca 2023 roku o zmianie ustawy o przeciwdziałaniu przemocy w rodzinie i niektórych </w:t>
      </w:r>
      <w:r w:rsidRPr="00517585">
        <w:rPr>
          <w:rFonts w:cstheme="minorHAnsi"/>
        </w:rPr>
        <w:lastRenderedPageBreak/>
        <w:t>innych ustaw (Dz. U. poz. 535</w:t>
      </w:r>
      <w:r>
        <w:rPr>
          <w:rFonts w:cstheme="minorHAnsi"/>
        </w:rPr>
        <w:t>)</w:t>
      </w:r>
      <w:r w:rsidRPr="00517585">
        <w:rPr>
          <w:rFonts w:cstheme="minorHAnsi"/>
        </w:rPr>
        <w:t xml:space="preserve">, która wejdzie w życie w dniu </w:t>
      </w:r>
      <w:r>
        <w:rPr>
          <w:rFonts w:cstheme="minorHAnsi"/>
        </w:rPr>
        <w:br/>
      </w:r>
      <w:r w:rsidRPr="00517585">
        <w:rPr>
          <w:rFonts w:cstheme="minorHAnsi"/>
        </w:rPr>
        <w:t>22 czerwca br.</w:t>
      </w:r>
    </w:p>
    <w:p w14:paraId="3C485A26" w14:textId="486A877F" w:rsidR="00517585" w:rsidRPr="00517585" w:rsidRDefault="00517585" w:rsidP="00833330">
      <w:pPr>
        <w:pStyle w:val="Akapitzlist"/>
        <w:numPr>
          <w:ilvl w:val="0"/>
          <w:numId w:val="45"/>
        </w:numPr>
        <w:shd w:val="clear" w:color="auto" w:fill="FFFFFF"/>
        <w:spacing w:before="240" w:after="0" w:line="360" w:lineRule="auto"/>
        <w:rPr>
          <w:rFonts w:cstheme="minorHAnsi"/>
        </w:rPr>
      </w:pPr>
      <w:r w:rsidRPr="00517585">
        <w:rPr>
          <w:rFonts w:cstheme="minorHAnsi"/>
        </w:rPr>
        <w:t>Ustawy z dnia 13 stycznia 2023 r. o zmianie ustawy - Kodeks postępowania cywilnego oraz niektórych innych ustaw wprowadzającej m.in. nowe narzędzia natychmiastowej izolacji sprawców przemocy domowej - chodzi o zakaz zbliżania się do pokrzywdzonych, zakaz zbliżania się do miejsca, w którym pracują, uczą się i zakaz kontaktowania się z nimi, również jest już opublikowana i czeka na wejście w życie.</w:t>
      </w:r>
    </w:p>
    <w:p w14:paraId="36838795" w14:textId="05A4DB74" w:rsidR="00517585" w:rsidRPr="00517585" w:rsidRDefault="00517585" w:rsidP="00833330">
      <w:pPr>
        <w:shd w:val="clear" w:color="auto" w:fill="FFFFFF"/>
        <w:spacing w:before="240" w:after="0" w:line="360" w:lineRule="auto"/>
        <w:rPr>
          <w:rFonts w:cstheme="minorHAnsi"/>
        </w:rPr>
      </w:pPr>
      <w:r w:rsidRPr="00517585">
        <w:rPr>
          <w:rFonts w:cstheme="minorHAnsi"/>
        </w:rPr>
        <w:t>Poniżej przedstawiamy rozwiązania zawarte w ustawach, które mają na celu ochronę przed</w:t>
      </w:r>
      <w:r>
        <w:rPr>
          <w:rFonts w:cstheme="minorHAnsi"/>
        </w:rPr>
        <w:t xml:space="preserve"> </w:t>
      </w:r>
      <w:r w:rsidRPr="00517585">
        <w:rPr>
          <w:rFonts w:cstheme="minorHAnsi"/>
        </w:rPr>
        <w:t>przemocą domową oraz poprawę funkcjonowania systemu przeciwdziałania przemocy na</w:t>
      </w:r>
      <w:r>
        <w:rPr>
          <w:rFonts w:cstheme="minorHAnsi"/>
        </w:rPr>
        <w:t xml:space="preserve"> </w:t>
      </w:r>
      <w:r w:rsidRPr="00517585">
        <w:rPr>
          <w:rFonts w:cstheme="minorHAnsi"/>
        </w:rPr>
        <w:t>szczeblu centralnym, regionalnym oraz na szczeblu samorządu terytorialnego.</w:t>
      </w:r>
    </w:p>
    <w:p w14:paraId="6EF541BB" w14:textId="77777777" w:rsidR="00517585" w:rsidRPr="00517585" w:rsidRDefault="00517585" w:rsidP="00833330">
      <w:pPr>
        <w:pStyle w:val="Nagwek3"/>
      </w:pPr>
      <w:r w:rsidRPr="00517585">
        <w:t>Podstawa prawna:</w:t>
      </w:r>
    </w:p>
    <w:p w14:paraId="3EA3C4E0" w14:textId="3DCE00C0" w:rsidR="00517585" w:rsidRDefault="00517585" w:rsidP="00E533C0">
      <w:pPr>
        <w:pStyle w:val="Akapitzlist"/>
        <w:numPr>
          <w:ilvl w:val="0"/>
          <w:numId w:val="46"/>
        </w:numPr>
        <w:shd w:val="clear" w:color="auto" w:fill="FFFFFF"/>
        <w:spacing w:before="240" w:after="0" w:line="360" w:lineRule="auto"/>
        <w:rPr>
          <w:rFonts w:cstheme="minorHAnsi"/>
        </w:rPr>
      </w:pPr>
      <w:r w:rsidRPr="00517585">
        <w:rPr>
          <w:rFonts w:cstheme="minorHAnsi"/>
        </w:rPr>
        <w:t>Ustawa z dnia 29 lipca 2005 r. o przeciwdziałaniu przemocy</w:t>
      </w:r>
      <w:r w:rsidR="00E533C0">
        <w:rPr>
          <w:rFonts w:cstheme="minorHAnsi"/>
        </w:rPr>
        <w:t xml:space="preserve"> </w:t>
      </w:r>
      <w:r w:rsidRPr="00517585">
        <w:rPr>
          <w:rFonts w:cstheme="minorHAnsi"/>
        </w:rPr>
        <w:t>w rodzinie</w:t>
      </w:r>
      <w:r>
        <w:rPr>
          <w:rFonts w:cstheme="minorHAnsi"/>
        </w:rPr>
        <w:t xml:space="preserve"> </w:t>
      </w:r>
      <w:r w:rsidRPr="00517585">
        <w:rPr>
          <w:rFonts w:cstheme="minorHAnsi"/>
        </w:rPr>
        <w:t>(</w:t>
      </w:r>
      <w:proofErr w:type="spellStart"/>
      <w:r w:rsidRPr="00517585">
        <w:rPr>
          <w:rFonts w:cstheme="minorHAnsi"/>
        </w:rPr>
        <w:t>t.j</w:t>
      </w:r>
      <w:proofErr w:type="spellEnd"/>
      <w:r w:rsidRPr="00517585">
        <w:rPr>
          <w:rFonts w:cstheme="minorHAnsi"/>
        </w:rPr>
        <w:t xml:space="preserve">. Dz. U. z 2021 r. poz. 1249 z </w:t>
      </w:r>
      <w:proofErr w:type="spellStart"/>
      <w:r w:rsidRPr="00517585">
        <w:rPr>
          <w:rFonts w:cstheme="minorHAnsi"/>
        </w:rPr>
        <w:t>późn</w:t>
      </w:r>
      <w:proofErr w:type="spellEnd"/>
      <w:r w:rsidRPr="00517585">
        <w:rPr>
          <w:rFonts w:cstheme="minorHAnsi"/>
        </w:rPr>
        <w:t>. zm.)</w:t>
      </w:r>
    </w:p>
    <w:p w14:paraId="313C713B" w14:textId="4571A051" w:rsidR="00517585" w:rsidRDefault="00517585" w:rsidP="00E533C0">
      <w:pPr>
        <w:pStyle w:val="Akapitzlist"/>
        <w:numPr>
          <w:ilvl w:val="0"/>
          <w:numId w:val="46"/>
        </w:numPr>
        <w:shd w:val="clear" w:color="auto" w:fill="FFFFFF"/>
        <w:spacing w:before="240" w:after="0" w:line="360" w:lineRule="auto"/>
        <w:rPr>
          <w:rFonts w:cstheme="minorHAnsi"/>
        </w:rPr>
      </w:pPr>
      <w:r w:rsidRPr="00517585">
        <w:rPr>
          <w:rFonts w:cstheme="minorHAnsi"/>
        </w:rPr>
        <w:t>Ustawa z dnia 9 marca 2023 r. o zmianie ustawy</w:t>
      </w:r>
      <w:r w:rsidR="00E533C0">
        <w:rPr>
          <w:rFonts w:cstheme="minorHAnsi"/>
        </w:rPr>
        <w:t xml:space="preserve"> </w:t>
      </w:r>
      <w:r w:rsidRPr="00517585">
        <w:rPr>
          <w:rFonts w:cstheme="minorHAnsi"/>
        </w:rPr>
        <w:t>o przeciwdziałaniu przemocy w rodzinie oraz niektórych innych ustaw (Dz. U. poz. 535)</w:t>
      </w:r>
    </w:p>
    <w:p w14:paraId="2A076CC7" w14:textId="059130D2" w:rsidR="006E023B" w:rsidRPr="00517585" w:rsidRDefault="00517585" w:rsidP="00E533C0">
      <w:pPr>
        <w:pStyle w:val="Akapitzlist"/>
        <w:numPr>
          <w:ilvl w:val="0"/>
          <w:numId w:val="46"/>
        </w:numPr>
        <w:shd w:val="clear" w:color="auto" w:fill="FFFFFF"/>
        <w:spacing w:before="240" w:after="0" w:line="360" w:lineRule="auto"/>
        <w:rPr>
          <w:rFonts w:cstheme="minorHAnsi"/>
          <w:color w:val="000000"/>
          <w:shd w:val="clear" w:color="auto" w:fill="FFFFFF"/>
        </w:rPr>
      </w:pPr>
      <w:r w:rsidRPr="00517585">
        <w:rPr>
          <w:rFonts w:cstheme="minorHAnsi"/>
        </w:rPr>
        <w:t>Ustawa z dnia 13 stycznia 2023 r. o zmianie ustawy - Kodeks postępowania cywilnego oraz niektórych innych ustaw (Dz.U.2023.289</w:t>
      </w:r>
      <w:r>
        <w:rPr>
          <w:rFonts w:cstheme="minorHAnsi"/>
        </w:rPr>
        <w:t>)</w:t>
      </w:r>
    </w:p>
    <w:p w14:paraId="19CDFD96" w14:textId="7E2CF3B3" w:rsidR="00AE064D" w:rsidRPr="00850DC3" w:rsidRDefault="00736736" w:rsidP="00833330">
      <w:pPr>
        <w:pStyle w:val="Nagwek2"/>
      </w:pPr>
      <w:bookmarkStart w:id="2" w:name="_Toc132287700"/>
      <w:r w:rsidRPr="00BB38B8">
        <w:rPr>
          <w:color w:val="1F3864" w:themeColor="accent1" w:themeShade="80"/>
        </w:rPr>
        <w:t xml:space="preserve">Co zmienia znowelizowana ustawa </w:t>
      </w:r>
      <w:proofErr w:type="spellStart"/>
      <w:r w:rsidRPr="00BB38B8">
        <w:rPr>
          <w:color w:val="1F3864" w:themeColor="accent1" w:themeShade="80"/>
        </w:rPr>
        <w:t>antyprzemocowa</w:t>
      </w:r>
      <w:proofErr w:type="spellEnd"/>
      <w:r w:rsidRPr="00BB38B8">
        <w:rPr>
          <w:color w:val="1F3864" w:themeColor="accent1" w:themeShade="80"/>
        </w:rPr>
        <w:t>?</w:t>
      </w:r>
      <w:bookmarkEnd w:id="2"/>
    </w:p>
    <w:p w14:paraId="3697A5B5" w14:textId="2D9B0CA5" w:rsidR="001B0132" w:rsidRDefault="001B0132" w:rsidP="00E533C0">
      <w:pPr>
        <w:pStyle w:val="Akapitzlist"/>
        <w:numPr>
          <w:ilvl w:val="0"/>
          <w:numId w:val="47"/>
        </w:numPr>
        <w:spacing w:before="240" w:line="360" w:lineRule="auto"/>
      </w:pPr>
      <w:r>
        <w:t>nazwę przemocy w rodzinie na „przemoc domową”;</w:t>
      </w:r>
    </w:p>
    <w:p w14:paraId="26E670BE" w14:textId="77777777" w:rsidR="001B0132" w:rsidRDefault="001B0132" w:rsidP="00E533C0">
      <w:pPr>
        <w:pStyle w:val="Akapitzlist"/>
        <w:numPr>
          <w:ilvl w:val="0"/>
          <w:numId w:val="47"/>
        </w:numPr>
        <w:spacing w:before="240" w:line="360" w:lineRule="auto"/>
      </w:pPr>
      <w:r>
        <w:t>rozszerza się krąg osób objętych ochroną na niezamieszkujących razem byłych partnerów oraz dzieci będące świadkami przemocy domowej;</w:t>
      </w:r>
    </w:p>
    <w:p w14:paraId="688B1CC6" w14:textId="77777777" w:rsidR="001B0132" w:rsidRDefault="001B0132" w:rsidP="00E533C0">
      <w:pPr>
        <w:pStyle w:val="Akapitzlist"/>
        <w:numPr>
          <w:ilvl w:val="0"/>
          <w:numId w:val="47"/>
        </w:numPr>
        <w:spacing w:before="240" w:line="360" w:lineRule="auto"/>
      </w:pPr>
      <w:r>
        <w:lastRenderedPageBreak/>
        <w:t>ustanowiony zostanie standard podstawowych usług świadczonych przez specjalistyczne ośrodki wsparcia dla osób doznających przemocy domowej;</w:t>
      </w:r>
    </w:p>
    <w:p w14:paraId="31DA2746" w14:textId="2D089554" w:rsidR="001B0132" w:rsidRDefault="001B0132" w:rsidP="00E533C0">
      <w:pPr>
        <w:pStyle w:val="Akapitzlist"/>
        <w:numPr>
          <w:ilvl w:val="0"/>
          <w:numId w:val="47"/>
        </w:numPr>
        <w:spacing w:before="240" w:line="360" w:lineRule="auto"/>
      </w:pPr>
      <w:r>
        <w:t>doprecyzowane zostaną przepisy dotyczące kwalifikacji osób kierujących specjalistycznymi ośrodkami wsparcia dla osób doznających przemocy domowej;</w:t>
      </w:r>
    </w:p>
    <w:p w14:paraId="75ADDD46" w14:textId="11076407" w:rsidR="001B0132" w:rsidRPr="001B0132" w:rsidRDefault="001B0132" w:rsidP="00E533C0">
      <w:pPr>
        <w:pStyle w:val="Akapitzlist"/>
        <w:numPr>
          <w:ilvl w:val="0"/>
          <w:numId w:val="47"/>
        </w:numPr>
        <w:spacing w:before="240" w:line="360" w:lineRule="auto"/>
        <w:rPr>
          <w:rFonts w:cstheme="minorHAnsi"/>
          <w:color w:val="222222"/>
          <w:shd w:val="clear" w:color="auto" w:fill="FFFFFF"/>
        </w:rPr>
      </w:pPr>
      <w:r>
        <w:t>wprowadzone zostaną zmiany dotyczące pracy zespołów interdyscyplinarnych i dotychczasowych grup roboczych, które funkcjonują w gminach.</w:t>
      </w:r>
    </w:p>
    <w:p w14:paraId="5584A0C2" w14:textId="33202B81" w:rsidR="00100795" w:rsidRPr="00BB38B8" w:rsidRDefault="00434E93" w:rsidP="00833330">
      <w:pPr>
        <w:pStyle w:val="Nagwek2"/>
        <w:rPr>
          <w:color w:val="1F3864" w:themeColor="accent1" w:themeShade="80"/>
        </w:rPr>
      </w:pPr>
      <w:bookmarkStart w:id="3" w:name="_Toc132287701"/>
      <w:r w:rsidRPr="00BB38B8">
        <w:rPr>
          <w:color w:val="1F3864" w:themeColor="accent1" w:themeShade="80"/>
        </w:rPr>
        <w:t>Nowa definicja przemocy domowej: nie w rodzinie, a w domu</w:t>
      </w:r>
      <w:bookmarkEnd w:id="3"/>
    </w:p>
    <w:p w14:paraId="53718DC3" w14:textId="21F8C38C" w:rsidR="001E2C55" w:rsidRPr="001E2C55" w:rsidRDefault="001E2C55" w:rsidP="00E533C0">
      <w:pPr>
        <w:spacing w:before="240" w:after="0" w:line="360" w:lineRule="auto"/>
        <w:rPr>
          <w:rFonts w:cstheme="minorHAnsi"/>
          <w:color w:val="1A1A1A"/>
          <w:shd w:val="clear" w:color="auto" w:fill="FFFFFF"/>
        </w:rPr>
      </w:pPr>
      <w:r w:rsidRPr="001E2C55">
        <w:rPr>
          <w:rFonts w:cstheme="minorHAnsi"/>
          <w:color w:val="1A1A1A"/>
          <w:shd w:val="clear" w:color="auto" w:fill="FFFFFF"/>
        </w:rPr>
        <w:t>Nowelizacja definicji przemocy domowej zakłada: „jednorazowe albo powtarzające się</w:t>
      </w:r>
      <w:r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umyślne działanie lub zaniechanie, naruszające prawa lub dobra osobiste osoby doznającej</w:t>
      </w:r>
      <w:r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przemocy domowej, w szczególności narażające tę osobę na niebezpieczeństwo utraty życia,</w:t>
      </w:r>
      <w:r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zdrowia, mienia, naruszające jej godność, nietykalność cielesną, wolność, w tym seksualną,</w:t>
      </w:r>
      <w:r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powodujące szkody ma jej zdrowiu fizycznym lub psychicznym, wywołujące u tej osoby</w:t>
      </w:r>
      <w:r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cierpienie lub krzywdę, oraz mające na celu uzyskanie kontroli w zakresie nabywania i</w:t>
      </w:r>
      <w:r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korzystania z posiadanych przez tę osobę zasobów ekonomicznych</w:t>
      </w:r>
      <w:r>
        <w:rPr>
          <w:rFonts w:cstheme="minorHAnsi"/>
          <w:color w:val="1A1A1A"/>
          <w:shd w:val="clear" w:color="auto" w:fill="FFFFFF"/>
        </w:rPr>
        <w:t>”.</w:t>
      </w:r>
    </w:p>
    <w:p w14:paraId="465861C8" w14:textId="77777777" w:rsidR="001E2C55" w:rsidRPr="001E2C55" w:rsidRDefault="001E2C55" w:rsidP="008429FD">
      <w:pPr>
        <w:pStyle w:val="Nagwek3"/>
        <w:rPr>
          <w:shd w:val="clear" w:color="auto" w:fill="FFFFFF"/>
        </w:rPr>
      </w:pPr>
      <w:r w:rsidRPr="001E2C55">
        <w:rPr>
          <w:shd w:val="clear" w:color="auto" w:fill="FFFFFF"/>
        </w:rPr>
        <w:t>Przemocą domową będą działania lub zaniechania: </w:t>
      </w:r>
    </w:p>
    <w:p w14:paraId="7CA8C9D4" w14:textId="77777777" w:rsidR="001E2C55" w:rsidRDefault="001E2C55" w:rsidP="008429FD">
      <w:pPr>
        <w:pStyle w:val="Akapitzlist"/>
        <w:numPr>
          <w:ilvl w:val="0"/>
          <w:numId w:val="48"/>
        </w:numPr>
        <w:spacing w:before="240" w:after="0" w:line="360" w:lineRule="auto"/>
        <w:rPr>
          <w:rFonts w:cstheme="minorHAnsi"/>
          <w:color w:val="1A1A1A"/>
          <w:shd w:val="clear" w:color="auto" w:fill="FFFFFF"/>
        </w:rPr>
      </w:pPr>
      <w:r w:rsidRPr="001E2C55">
        <w:rPr>
          <w:rFonts w:cstheme="minorHAnsi"/>
          <w:color w:val="1A1A1A"/>
          <w:shd w:val="clear" w:color="auto" w:fill="FFFFFF"/>
        </w:rPr>
        <w:t>narażające osobę doznającą przemocy na niebezpieczeństwo utraty życia, zdrowia lub mienia, </w:t>
      </w:r>
    </w:p>
    <w:p w14:paraId="49E60917" w14:textId="77777777" w:rsidR="001E2C55" w:rsidRDefault="001E2C55" w:rsidP="008429FD">
      <w:pPr>
        <w:pStyle w:val="Akapitzlist"/>
        <w:numPr>
          <w:ilvl w:val="0"/>
          <w:numId w:val="48"/>
        </w:numPr>
        <w:spacing w:before="240" w:after="0" w:line="360" w:lineRule="auto"/>
        <w:rPr>
          <w:rFonts w:cstheme="minorHAnsi"/>
          <w:color w:val="1A1A1A"/>
          <w:shd w:val="clear" w:color="auto" w:fill="FFFFFF"/>
        </w:rPr>
      </w:pPr>
      <w:r w:rsidRPr="001E2C55">
        <w:rPr>
          <w:rFonts w:cstheme="minorHAnsi"/>
          <w:color w:val="1A1A1A"/>
          <w:shd w:val="clear" w:color="auto" w:fill="FFFFFF"/>
        </w:rPr>
        <w:t>naruszające jej godność, nietykalność cielesną lub wolność, w tym seksualną, </w:t>
      </w:r>
    </w:p>
    <w:p w14:paraId="58E3CC14" w14:textId="77777777" w:rsidR="001E2C55" w:rsidRDefault="001E2C55" w:rsidP="008429FD">
      <w:pPr>
        <w:pStyle w:val="Akapitzlist"/>
        <w:numPr>
          <w:ilvl w:val="0"/>
          <w:numId w:val="48"/>
        </w:numPr>
        <w:spacing w:before="240" w:after="0" w:line="360" w:lineRule="auto"/>
        <w:rPr>
          <w:rFonts w:cstheme="minorHAnsi"/>
          <w:color w:val="1A1A1A"/>
          <w:shd w:val="clear" w:color="auto" w:fill="FFFFFF"/>
        </w:rPr>
      </w:pPr>
      <w:r w:rsidRPr="001E2C55">
        <w:rPr>
          <w:rFonts w:cstheme="minorHAnsi"/>
          <w:color w:val="1A1A1A"/>
          <w:shd w:val="clear" w:color="auto" w:fill="FFFFFF"/>
        </w:rPr>
        <w:t>powodujące szkody na jej zdrowiu fizycznym lub psychicznym, wywołujące u tej</w:t>
      </w:r>
      <w:r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osoby cierpienie lub krzywdę, </w:t>
      </w:r>
    </w:p>
    <w:p w14:paraId="24C91260" w14:textId="77777777" w:rsidR="001E2C55" w:rsidRDefault="001E2C55" w:rsidP="008429FD">
      <w:pPr>
        <w:pStyle w:val="Akapitzlist"/>
        <w:numPr>
          <w:ilvl w:val="0"/>
          <w:numId w:val="48"/>
        </w:numPr>
        <w:spacing w:before="240" w:after="0" w:line="360" w:lineRule="auto"/>
        <w:rPr>
          <w:rFonts w:cstheme="minorHAnsi"/>
          <w:color w:val="1A1A1A"/>
          <w:shd w:val="clear" w:color="auto" w:fill="FFFFFF"/>
        </w:rPr>
      </w:pPr>
      <w:r w:rsidRPr="001E2C55">
        <w:rPr>
          <w:rFonts w:cstheme="minorHAnsi"/>
          <w:color w:val="1A1A1A"/>
          <w:shd w:val="clear" w:color="auto" w:fill="FFFFFF"/>
        </w:rPr>
        <w:lastRenderedPageBreak/>
        <w:t>ograniczające lub pozbawiające tę osobę dostępu do środków finansowych lub możliwości podjęcia pracy lub uzyskania samodzielności finansowej, </w:t>
      </w:r>
    </w:p>
    <w:p w14:paraId="042C1005" w14:textId="662B00F0" w:rsidR="001E2C55" w:rsidRPr="001E2C55" w:rsidRDefault="001E2C55" w:rsidP="008429FD">
      <w:pPr>
        <w:pStyle w:val="Akapitzlist"/>
        <w:numPr>
          <w:ilvl w:val="0"/>
          <w:numId w:val="48"/>
        </w:numPr>
        <w:spacing w:before="240" w:after="0" w:line="360" w:lineRule="auto"/>
        <w:rPr>
          <w:rFonts w:cstheme="minorHAnsi"/>
          <w:color w:val="1A1A1A"/>
          <w:shd w:val="clear" w:color="auto" w:fill="FFFFFF"/>
        </w:rPr>
      </w:pPr>
      <w:r w:rsidRPr="001E2C55">
        <w:rPr>
          <w:rFonts w:cstheme="minorHAnsi"/>
          <w:color w:val="1A1A1A"/>
          <w:shd w:val="clear" w:color="auto" w:fill="FFFFFF"/>
        </w:rPr>
        <w:t>istotnie naruszające prywatność tej osoby lub wzbudzające u niej poczucie zagrożenia, poniżenia lub udręczenia, w tym podejmowane za pomocą środków komunikacji elektronicznej.</w:t>
      </w:r>
    </w:p>
    <w:p w14:paraId="57F820D2" w14:textId="06074774" w:rsidR="001E2C55" w:rsidRPr="001E2C55" w:rsidRDefault="001E2C55" w:rsidP="008429FD">
      <w:pPr>
        <w:spacing w:before="240" w:after="0" w:line="360" w:lineRule="auto"/>
        <w:rPr>
          <w:rFonts w:cstheme="minorHAnsi"/>
          <w:color w:val="1A1A1A"/>
          <w:shd w:val="clear" w:color="auto" w:fill="FFFFFF"/>
        </w:rPr>
      </w:pPr>
      <w:r w:rsidRPr="00902800">
        <w:rPr>
          <w:rFonts w:cstheme="minorHAnsi"/>
          <w:color w:val="1A1A1A"/>
          <w:shd w:val="clear" w:color="auto" w:fill="FFFFFF"/>
        </w:rPr>
        <w:t>Nowelizacja</w:t>
      </w:r>
      <w:r w:rsidRPr="001E2C55">
        <w:rPr>
          <w:rFonts w:cstheme="minorHAnsi"/>
          <w:color w:val="1A1A1A"/>
          <w:shd w:val="clear" w:color="auto" w:fill="FFFFFF"/>
        </w:rPr>
        <w:t xml:space="preserve"> wprowadza do powyższej definicji nowe elementy: żeby dane działanie lub</w:t>
      </w:r>
      <w:r w:rsidR="00902800"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 xml:space="preserve">zaniechanie było uznane za przemoc domową musi wykorzystywać przewagę </w:t>
      </w:r>
      <w:r w:rsidRPr="00902800">
        <w:rPr>
          <w:rFonts w:cstheme="minorHAnsi"/>
          <w:b/>
          <w:bCs/>
          <w:color w:val="1A1A1A"/>
          <w:shd w:val="clear" w:color="auto" w:fill="FFFFFF"/>
        </w:rPr>
        <w:t>fizyczną,</w:t>
      </w:r>
      <w:r w:rsidR="00902800" w:rsidRPr="00902800">
        <w:rPr>
          <w:rFonts w:cstheme="minorHAnsi"/>
          <w:b/>
          <w:bCs/>
          <w:color w:val="1A1A1A"/>
          <w:shd w:val="clear" w:color="auto" w:fill="FFFFFF"/>
        </w:rPr>
        <w:t xml:space="preserve"> </w:t>
      </w:r>
      <w:r w:rsidRPr="00902800">
        <w:rPr>
          <w:rFonts w:cstheme="minorHAnsi"/>
          <w:b/>
          <w:bCs/>
          <w:color w:val="1A1A1A"/>
          <w:shd w:val="clear" w:color="auto" w:fill="FFFFFF"/>
        </w:rPr>
        <w:t>psychiczną lub ekonomiczną</w:t>
      </w:r>
      <w:r w:rsidRPr="001E2C55">
        <w:rPr>
          <w:rFonts w:cstheme="minorHAnsi"/>
          <w:color w:val="1A1A1A"/>
          <w:shd w:val="clear" w:color="auto" w:fill="FFFFFF"/>
        </w:rPr>
        <w:t xml:space="preserve"> (także połączenie takich przewag) osoby stosującej przemoc</w:t>
      </w:r>
      <w:r w:rsidR="00902800"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nad osobą doznającą przemocy.</w:t>
      </w:r>
    </w:p>
    <w:p w14:paraId="3ECA4D6C" w14:textId="4BECD624" w:rsidR="00AF7DD9" w:rsidRDefault="001E2C55" w:rsidP="00F708A5">
      <w:pPr>
        <w:spacing w:before="240" w:after="0" w:line="360" w:lineRule="auto"/>
        <w:rPr>
          <w:rFonts w:cstheme="minorHAnsi"/>
          <w:color w:val="000000"/>
          <w:shd w:val="clear" w:color="auto" w:fill="FFFFFF"/>
        </w:rPr>
      </w:pPr>
      <w:r w:rsidRPr="001E2C55">
        <w:rPr>
          <w:rFonts w:cstheme="minorHAnsi"/>
          <w:color w:val="1A1A1A"/>
          <w:shd w:val="clear" w:color="auto" w:fill="FFFFFF"/>
        </w:rPr>
        <w:t xml:space="preserve">Z kolei </w:t>
      </w:r>
      <w:r w:rsidRPr="00902800">
        <w:rPr>
          <w:rFonts w:cstheme="minorHAnsi"/>
          <w:b/>
          <w:bCs/>
          <w:color w:val="1A1A1A"/>
          <w:shd w:val="clear" w:color="auto" w:fill="FFFFFF"/>
        </w:rPr>
        <w:t>cyberprzemoc</w:t>
      </w:r>
      <w:r w:rsidRPr="001E2C55">
        <w:rPr>
          <w:rFonts w:cstheme="minorHAnsi"/>
          <w:color w:val="1A1A1A"/>
          <w:shd w:val="clear" w:color="auto" w:fill="FFFFFF"/>
        </w:rPr>
        <w:t xml:space="preserve"> jest zdefiniowana jako </w:t>
      </w:r>
      <w:r w:rsidR="00902800">
        <w:rPr>
          <w:rFonts w:cstheme="minorHAnsi"/>
          <w:color w:val="1A1A1A"/>
          <w:shd w:val="clear" w:color="auto" w:fill="FFFFFF"/>
        </w:rPr>
        <w:t>„</w:t>
      </w:r>
      <w:r w:rsidRPr="001E2C55">
        <w:rPr>
          <w:rFonts w:cstheme="minorHAnsi"/>
          <w:color w:val="1A1A1A"/>
          <w:shd w:val="clear" w:color="auto" w:fill="FFFFFF"/>
        </w:rPr>
        <w:t>opis zachowań, które mogą wzbudzić w osobie</w:t>
      </w:r>
      <w:r w:rsidR="00902800"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doznającej przemocy poczucie zagrożenia, poniżenia lub udręczenia, zwłaszcza zachowań</w:t>
      </w:r>
      <w:r w:rsidR="00902800">
        <w:rPr>
          <w:rFonts w:cstheme="minorHAnsi"/>
          <w:color w:val="1A1A1A"/>
          <w:shd w:val="clear" w:color="auto" w:fill="FFFFFF"/>
        </w:rPr>
        <w:t xml:space="preserve"> </w:t>
      </w:r>
      <w:r w:rsidRPr="001E2C55">
        <w:rPr>
          <w:rFonts w:cstheme="minorHAnsi"/>
          <w:color w:val="1A1A1A"/>
          <w:shd w:val="clear" w:color="auto" w:fill="FFFFFF"/>
        </w:rPr>
        <w:t>podejmowanych za pomocą środków komunikacji elektronicznej na odległość</w:t>
      </w:r>
      <w:r w:rsidR="00902800">
        <w:rPr>
          <w:rFonts w:cstheme="minorHAnsi"/>
          <w:color w:val="1A1A1A"/>
          <w:shd w:val="clear" w:color="auto" w:fill="FFFFFF"/>
        </w:rPr>
        <w:t>”</w:t>
      </w:r>
      <w:r w:rsidR="004F6AF3" w:rsidRPr="00FF06CA">
        <w:rPr>
          <w:rFonts w:cstheme="minorHAnsi"/>
          <w:color w:val="000000"/>
          <w:shd w:val="clear" w:color="auto" w:fill="FFFFFF"/>
        </w:rPr>
        <w:t>.</w:t>
      </w:r>
    </w:p>
    <w:p w14:paraId="1F972839" w14:textId="7742A85E" w:rsidR="00AA7118" w:rsidRPr="00BB38B8" w:rsidRDefault="00620853" w:rsidP="00833330">
      <w:pPr>
        <w:pStyle w:val="Nagwek2"/>
        <w:rPr>
          <w:color w:val="1F3864" w:themeColor="accent1" w:themeShade="80"/>
        </w:rPr>
      </w:pPr>
      <w:bookmarkStart w:id="4" w:name="_Toc132287702"/>
      <w:r w:rsidRPr="00BB38B8">
        <w:rPr>
          <w:color w:val="1F3864" w:themeColor="accent1" w:themeShade="80"/>
        </w:rPr>
        <w:t>K</w:t>
      </w:r>
      <w:r w:rsidR="00FE08CF" w:rsidRPr="00BB38B8">
        <w:rPr>
          <w:color w:val="1F3864" w:themeColor="accent1" w:themeShade="80"/>
        </w:rPr>
        <w:t>to będzie chroniony?</w:t>
      </w:r>
      <w:bookmarkEnd w:id="4"/>
    </w:p>
    <w:p w14:paraId="3EC5F5A4" w14:textId="77777777" w:rsidR="00FE08CF" w:rsidRDefault="00FE08CF" w:rsidP="00864CF3">
      <w:p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 xml:space="preserve">Ustawa </w:t>
      </w:r>
      <w:proofErr w:type="spellStart"/>
      <w:r w:rsidRPr="00FE08CF">
        <w:rPr>
          <w:rFonts w:cstheme="minorHAnsi"/>
        </w:rPr>
        <w:t>antyprzemocowa</w:t>
      </w:r>
      <w:proofErr w:type="spellEnd"/>
      <w:r w:rsidRPr="00FE08CF">
        <w:rPr>
          <w:rFonts w:cstheme="minorHAnsi"/>
        </w:rPr>
        <w:t xml:space="preserve"> posługuje się obecnie pojęciem członka rodziny, które obejmuje: </w:t>
      </w:r>
    </w:p>
    <w:p w14:paraId="7A70F97D" w14:textId="29A8760F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małżonka, </w:t>
      </w:r>
    </w:p>
    <w:p w14:paraId="5B203482" w14:textId="24006D99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wstępnego, </w:t>
      </w:r>
    </w:p>
    <w:p w14:paraId="7D8B420E" w14:textId="0EC0A72E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zstępnego, </w:t>
      </w:r>
    </w:p>
    <w:p w14:paraId="62720354" w14:textId="203EAAA7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rodzeństwo, </w:t>
      </w:r>
    </w:p>
    <w:p w14:paraId="4AF68B40" w14:textId="518E663C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powinowatego w tej samej linii lub stopniu co osoby wymienione powyżej, </w:t>
      </w:r>
    </w:p>
    <w:p w14:paraId="6F48F901" w14:textId="13F10DA7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osobę pozostającą w stosunku przysposobienia oraz jej małżonka, </w:t>
      </w:r>
    </w:p>
    <w:p w14:paraId="5D8584A3" w14:textId="513D8808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lastRenderedPageBreak/>
        <w:t>osobę pozostająca we wspólnym pożyciu (tj. konkubenta, konkubinę), </w:t>
      </w:r>
    </w:p>
    <w:p w14:paraId="7D9D0C0C" w14:textId="22E31F57" w:rsidR="00FE08CF" w:rsidRPr="00FE08CF" w:rsidRDefault="00FE08CF" w:rsidP="00864CF3">
      <w:pPr>
        <w:pStyle w:val="Akapitzlist"/>
        <w:numPr>
          <w:ilvl w:val="0"/>
          <w:numId w:val="49"/>
        </w:num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inną osobę wspólnie zamieszkującą lub gospodarującą</w:t>
      </w:r>
      <w:r w:rsidR="0022308C">
        <w:rPr>
          <w:rFonts w:cstheme="minorHAnsi"/>
        </w:rPr>
        <w:t xml:space="preserve"> </w:t>
      </w:r>
      <w:r w:rsidRPr="00FE08CF">
        <w:rPr>
          <w:rFonts w:cstheme="minorHAnsi"/>
        </w:rPr>
        <w:t>(tj. każdego współlokatora, nawet jeśli nie jest spokrewniony lub spowinowacony).</w:t>
      </w:r>
    </w:p>
    <w:p w14:paraId="1A41341D" w14:textId="0A33930C" w:rsidR="00FE08CF" w:rsidRPr="00FE08CF" w:rsidRDefault="00FE08CF" w:rsidP="00864CF3">
      <w:pPr>
        <w:spacing w:before="240" w:line="360" w:lineRule="auto"/>
        <w:rPr>
          <w:rFonts w:cstheme="minorHAnsi"/>
        </w:rPr>
      </w:pPr>
      <w:r w:rsidRPr="00FE08CF">
        <w:rPr>
          <w:rFonts w:cstheme="minorHAnsi"/>
        </w:rPr>
        <w:t>Nowelizacja rozszerza ten katalog (i nie nazywa osób dotkniętych przemocą „członkami</w:t>
      </w:r>
      <w:r w:rsidR="00043B4E">
        <w:rPr>
          <w:rFonts w:cstheme="minorHAnsi"/>
        </w:rPr>
        <w:t xml:space="preserve"> </w:t>
      </w:r>
      <w:r w:rsidRPr="00FE08CF">
        <w:rPr>
          <w:rFonts w:cstheme="minorHAnsi"/>
        </w:rPr>
        <w:t>rodziny” – co jest spójne z kierunkiem zmian terminologii). Obejmować on teraz będzie:</w:t>
      </w:r>
    </w:p>
    <w:p w14:paraId="080C0D31" w14:textId="6480E678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rFonts w:cstheme="minorHAnsi"/>
        </w:rPr>
      </w:pPr>
      <w:r w:rsidRPr="00043B4E">
        <w:rPr>
          <w:rFonts w:cstheme="minorHAnsi"/>
        </w:rPr>
        <w:t xml:space="preserve">małżonka, także w </w:t>
      </w:r>
      <w:proofErr w:type="gramStart"/>
      <w:r w:rsidRPr="00043B4E">
        <w:rPr>
          <w:rFonts w:cstheme="minorHAnsi"/>
        </w:rPr>
        <w:t>przypadku</w:t>
      </w:r>
      <w:proofErr w:type="gramEnd"/>
      <w:r w:rsidRPr="00043B4E">
        <w:rPr>
          <w:rFonts w:cstheme="minorHAnsi"/>
        </w:rPr>
        <w:t xml:space="preserve"> gdy małżeństwo ustało lub zostało unieważnione, oraz</w:t>
      </w:r>
      <w:r w:rsidR="00043B4E" w:rsidRPr="00043B4E">
        <w:rPr>
          <w:rFonts w:cstheme="minorHAnsi"/>
        </w:rPr>
        <w:t xml:space="preserve"> </w:t>
      </w:r>
      <w:r w:rsidRPr="00043B4E">
        <w:rPr>
          <w:rFonts w:cstheme="minorHAnsi"/>
        </w:rPr>
        <w:t>jego wstępnych, zstępnych, rodzeństwo i ich małżonków, </w:t>
      </w:r>
    </w:p>
    <w:p w14:paraId="5162C8C5" w14:textId="723E5FE1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rFonts w:cstheme="minorHAnsi"/>
        </w:rPr>
      </w:pPr>
      <w:r w:rsidRPr="00043B4E">
        <w:rPr>
          <w:rFonts w:cstheme="minorHAnsi"/>
        </w:rPr>
        <w:t>wstępnych i zstępnych oraz ich małżonków, </w:t>
      </w:r>
    </w:p>
    <w:p w14:paraId="55BD21B4" w14:textId="33C7319D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rFonts w:cstheme="minorHAnsi"/>
        </w:rPr>
      </w:pPr>
      <w:r w:rsidRPr="00043B4E">
        <w:rPr>
          <w:rFonts w:cstheme="minorHAnsi"/>
        </w:rPr>
        <w:t>rodzeństwo oraz ich wstępnych, zstępnych i ich małżonków, </w:t>
      </w:r>
    </w:p>
    <w:p w14:paraId="76DA5526" w14:textId="562F5B8F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rFonts w:cstheme="minorHAnsi"/>
        </w:rPr>
      </w:pPr>
      <w:r w:rsidRPr="00043B4E">
        <w:rPr>
          <w:rFonts w:cstheme="minorHAnsi"/>
        </w:rPr>
        <w:t>osobę pozostającą w stosunku przysposobienia i jej małżonka oraz ich wstępnych,</w:t>
      </w:r>
      <w:r w:rsidR="00043B4E" w:rsidRPr="00043B4E">
        <w:rPr>
          <w:rFonts w:cstheme="minorHAnsi"/>
        </w:rPr>
        <w:t xml:space="preserve"> </w:t>
      </w:r>
      <w:r w:rsidRPr="00043B4E">
        <w:rPr>
          <w:rFonts w:cstheme="minorHAnsi"/>
        </w:rPr>
        <w:t>zstępnych, rodzeństwo i ich małżonków, </w:t>
      </w:r>
    </w:p>
    <w:p w14:paraId="25297D33" w14:textId="6079A9DA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rFonts w:cstheme="minorHAnsi"/>
        </w:rPr>
      </w:pPr>
      <w:r w:rsidRPr="00043B4E">
        <w:rPr>
          <w:rFonts w:cstheme="minorHAnsi"/>
        </w:rPr>
        <w:t>osobę pozostającą obecnie lub w przeszłości we wspólnym pożyciu oraz jej</w:t>
      </w:r>
      <w:r w:rsidR="00043B4E" w:rsidRPr="00043B4E">
        <w:rPr>
          <w:rFonts w:cstheme="minorHAnsi"/>
        </w:rPr>
        <w:t xml:space="preserve"> </w:t>
      </w:r>
      <w:r w:rsidRPr="00043B4E">
        <w:rPr>
          <w:rFonts w:cstheme="minorHAnsi"/>
        </w:rPr>
        <w:t>wstępnych, zstępnych, rodzeństwo i ich małżonków, </w:t>
      </w:r>
    </w:p>
    <w:p w14:paraId="0A0F2183" w14:textId="7B0F59FE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rFonts w:cstheme="minorHAnsi"/>
        </w:rPr>
      </w:pPr>
      <w:r w:rsidRPr="00043B4E">
        <w:rPr>
          <w:rFonts w:cstheme="minorHAnsi"/>
        </w:rPr>
        <w:t>osobę wspólnie zamieszkującą i gospodarującą oraz jej wstępnych, zstępnych,</w:t>
      </w:r>
      <w:r w:rsidR="00043B4E" w:rsidRPr="00043B4E">
        <w:rPr>
          <w:rFonts w:cstheme="minorHAnsi"/>
        </w:rPr>
        <w:t xml:space="preserve"> </w:t>
      </w:r>
      <w:r w:rsidRPr="00043B4E">
        <w:rPr>
          <w:rFonts w:cstheme="minorHAnsi"/>
        </w:rPr>
        <w:t>rodzeństwo i ich małżonków, </w:t>
      </w:r>
    </w:p>
    <w:p w14:paraId="7154173C" w14:textId="41A2D66D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rFonts w:cstheme="minorHAnsi"/>
        </w:rPr>
      </w:pPr>
      <w:r w:rsidRPr="00043B4E">
        <w:rPr>
          <w:rFonts w:cstheme="minorHAnsi"/>
        </w:rPr>
        <w:t>osobę pozostającą obecnie lub w przeszłości w trwałej relacji uczuciowej lub</w:t>
      </w:r>
      <w:r w:rsidR="00043B4E" w:rsidRPr="00043B4E">
        <w:rPr>
          <w:rFonts w:cstheme="minorHAnsi"/>
        </w:rPr>
        <w:t xml:space="preserve"> </w:t>
      </w:r>
      <w:r w:rsidRPr="00043B4E">
        <w:rPr>
          <w:rFonts w:cstheme="minorHAnsi"/>
        </w:rPr>
        <w:t>fizycznej niezależnie od wspólnego zamieszkiwania i gospodarowania, </w:t>
      </w:r>
    </w:p>
    <w:p w14:paraId="4AF12529" w14:textId="198499C4" w:rsidR="00FE08CF" w:rsidRPr="00043B4E" w:rsidRDefault="00FE08CF" w:rsidP="00864CF3">
      <w:pPr>
        <w:pStyle w:val="Akapitzlist"/>
        <w:numPr>
          <w:ilvl w:val="0"/>
          <w:numId w:val="50"/>
        </w:numPr>
        <w:spacing w:before="240" w:line="360" w:lineRule="auto"/>
        <w:rPr>
          <w:b/>
          <w:bCs/>
        </w:rPr>
      </w:pPr>
      <w:r w:rsidRPr="00043B4E">
        <w:rPr>
          <w:rFonts w:cstheme="minorHAnsi"/>
        </w:rPr>
        <w:t>małoletniego, wobec którego jest stosowana przemoc domowa lub który jest</w:t>
      </w:r>
      <w:r w:rsidR="00043B4E" w:rsidRPr="00043B4E">
        <w:rPr>
          <w:rFonts w:cstheme="minorHAnsi"/>
        </w:rPr>
        <w:t xml:space="preserve"> </w:t>
      </w:r>
      <w:r w:rsidRPr="00043B4E">
        <w:rPr>
          <w:rFonts w:cstheme="minorHAnsi"/>
        </w:rPr>
        <w:t>świadkiem przemocy domowej wobec innych osób.</w:t>
      </w:r>
    </w:p>
    <w:p w14:paraId="4756CE1F" w14:textId="266011BC" w:rsidR="00654411" w:rsidRPr="00BB38B8" w:rsidRDefault="00654411" w:rsidP="00833330">
      <w:pPr>
        <w:pStyle w:val="Nagwek2"/>
        <w:rPr>
          <w:color w:val="1F3864" w:themeColor="accent1" w:themeShade="80"/>
        </w:rPr>
      </w:pPr>
      <w:bookmarkStart w:id="5" w:name="_Toc132287703"/>
      <w:r w:rsidRPr="00BB38B8">
        <w:rPr>
          <w:color w:val="1F3864" w:themeColor="accent1" w:themeShade="80"/>
        </w:rPr>
        <w:lastRenderedPageBreak/>
        <w:t>Zmiany w procedurze niebieskiej karty</w:t>
      </w:r>
      <w:bookmarkEnd w:id="5"/>
    </w:p>
    <w:p w14:paraId="6F41E681" w14:textId="7DBE5CF9" w:rsidR="00FC3986" w:rsidRDefault="00654411" w:rsidP="0022308C">
      <w:pPr>
        <w:spacing w:before="240" w:line="360" w:lineRule="auto"/>
        <w:rPr>
          <w:rFonts w:cstheme="minorHAnsi"/>
        </w:rPr>
      </w:pPr>
      <w:r w:rsidRPr="00654411">
        <w:rPr>
          <w:rFonts w:cstheme="minorHAnsi"/>
        </w:rPr>
        <w:t>Ustawa przewiduje także zmiany w procedurze niebieskiej karty. Wprowadzono np. przepis</w:t>
      </w:r>
      <w:r w:rsidR="00CD545B">
        <w:rPr>
          <w:rFonts w:cstheme="minorHAnsi"/>
        </w:rPr>
        <w:t xml:space="preserve"> </w:t>
      </w:r>
      <w:r w:rsidRPr="00654411">
        <w:rPr>
          <w:rFonts w:cstheme="minorHAnsi"/>
        </w:rPr>
        <w:t>obligujący grupę diagnostyczno-pomocową do monitorowania sytuacji osób lub rodzin</w:t>
      </w:r>
      <w:r w:rsidR="00CD545B">
        <w:rPr>
          <w:rFonts w:cstheme="minorHAnsi"/>
        </w:rPr>
        <w:t xml:space="preserve"> </w:t>
      </w:r>
      <w:r w:rsidRPr="00654411">
        <w:rPr>
          <w:rFonts w:cstheme="minorHAnsi"/>
        </w:rPr>
        <w:t>dotkniętych przemocą domową,</w:t>
      </w:r>
      <w:r w:rsidR="0022308C">
        <w:rPr>
          <w:rFonts w:cstheme="minorHAnsi"/>
        </w:rPr>
        <w:t xml:space="preserve"> </w:t>
      </w:r>
      <w:r w:rsidRPr="00654411">
        <w:rPr>
          <w:rFonts w:cstheme="minorHAnsi"/>
        </w:rPr>
        <w:t>a także zagrożonych jej wystąpieniem, w tym również po</w:t>
      </w:r>
      <w:r w:rsidR="00CD545B">
        <w:rPr>
          <w:rFonts w:cstheme="minorHAnsi"/>
        </w:rPr>
        <w:t xml:space="preserve"> </w:t>
      </w:r>
      <w:r w:rsidRPr="00654411">
        <w:rPr>
          <w:rFonts w:cstheme="minorHAnsi"/>
        </w:rPr>
        <w:t>zakończeniu procedury niebieskie karty. Dodano również przepis umożliwiający pracę grupy</w:t>
      </w:r>
      <w:r w:rsidR="00CD545B">
        <w:rPr>
          <w:rFonts w:cstheme="minorHAnsi"/>
        </w:rPr>
        <w:t xml:space="preserve"> </w:t>
      </w:r>
      <w:r w:rsidRPr="00654411">
        <w:rPr>
          <w:rFonts w:cstheme="minorHAnsi"/>
        </w:rPr>
        <w:t>diagnostyczno-pomocowej za pośrednictwem środków komunikacji elektronicznej.</w:t>
      </w:r>
    </w:p>
    <w:p w14:paraId="24AD0F18" w14:textId="71D1F320" w:rsidR="00496E4C" w:rsidRPr="00BB38B8" w:rsidRDefault="00496E4C" w:rsidP="00833330">
      <w:pPr>
        <w:pStyle w:val="Nagwek2"/>
        <w:rPr>
          <w:color w:val="1F3864" w:themeColor="accent1" w:themeShade="80"/>
        </w:rPr>
      </w:pPr>
      <w:bookmarkStart w:id="6" w:name="_Toc132287704"/>
      <w:r w:rsidRPr="00BB38B8">
        <w:rPr>
          <w:color w:val="1F3864" w:themeColor="accent1" w:themeShade="80"/>
        </w:rPr>
        <w:t>Kwalifikacje dla osób kierujących ośrodkami dla ofiar przemocy</w:t>
      </w:r>
      <w:bookmarkEnd w:id="6"/>
    </w:p>
    <w:p w14:paraId="63FAB98C" w14:textId="4E65E90B" w:rsidR="00496E4C" w:rsidRDefault="00D949BF" w:rsidP="0022308C">
      <w:pPr>
        <w:spacing w:before="240" w:line="360" w:lineRule="auto"/>
        <w:rPr>
          <w:rFonts w:cstheme="minorHAnsi"/>
        </w:rPr>
      </w:pPr>
      <w:r w:rsidRPr="00D949BF">
        <w:rPr>
          <w:rFonts w:cstheme="minorHAnsi"/>
        </w:rPr>
        <w:t>Regulacja doprecyzowuje również przepisy w zakresie kwalifikacji osób kierujących</w:t>
      </w:r>
      <w:r>
        <w:rPr>
          <w:rFonts w:cstheme="minorHAnsi"/>
        </w:rPr>
        <w:t xml:space="preserve"> </w:t>
      </w:r>
      <w:r w:rsidRPr="00D949BF">
        <w:rPr>
          <w:rFonts w:cstheme="minorHAnsi"/>
        </w:rPr>
        <w:t>specjalistycznymi ośrodkami wsparcia dla osób doznających przemocy domowej.</w:t>
      </w:r>
      <w:r>
        <w:rPr>
          <w:rFonts w:cstheme="minorHAnsi"/>
        </w:rPr>
        <w:t xml:space="preserve"> </w:t>
      </w:r>
      <w:r w:rsidRPr="00D949BF">
        <w:rPr>
          <w:rFonts w:cstheme="minorHAnsi"/>
        </w:rPr>
        <w:t>Umożliwiono uznanie dotychczasowego doświadczenia zawodowego – wskazano, że osoby</w:t>
      </w:r>
      <w:r>
        <w:rPr>
          <w:rFonts w:cstheme="minorHAnsi"/>
        </w:rPr>
        <w:t xml:space="preserve"> </w:t>
      </w:r>
      <w:r w:rsidRPr="00D949BF">
        <w:rPr>
          <w:rFonts w:cstheme="minorHAnsi"/>
        </w:rPr>
        <w:t>te muszą mieć co najmniej trzy lata stażu pracy w pomocy społecznej lub w placówkach</w:t>
      </w:r>
      <w:r>
        <w:rPr>
          <w:rFonts w:cstheme="minorHAnsi"/>
        </w:rPr>
        <w:t xml:space="preserve"> </w:t>
      </w:r>
      <w:r w:rsidRPr="00D949BF">
        <w:rPr>
          <w:rFonts w:cstheme="minorHAnsi"/>
        </w:rPr>
        <w:t>realizujących zadania na rzecz przeciwdziałania przemocy oraz specjalizację z zakresu</w:t>
      </w:r>
      <w:r>
        <w:rPr>
          <w:rFonts w:cstheme="minorHAnsi"/>
        </w:rPr>
        <w:t xml:space="preserve"> </w:t>
      </w:r>
      <w:r w:rsidRPr="00D949BF">
        <w:rPr>
          <w:rFonts w:cstheme="minorHAnsi"/>
        </w:rPr>
        <w:t>organizacji pomocy społecznej. Ustanowiony zostanie również standard podstawowych</w:t>
      </w:r>
      <w:r>
        <w:rPr>
          <w:rFonts w:cstheme="minorHAnsi"/>
        </w:rPr>
        <w:t xml:space="preserve"> </w:t>
      </w:r>
      <w:r w:rsidRPr="00D949BF">
        <w:rPr>
          <w:rFonts w:cstheme="minorHAnsi"/>
        </w:rPr>
        <w:t>usług świadczonych przez specjalistyczne ośrodki wsparcia dla osób doznających przemocy</w:t>
      </w:r>
      <w:r>
        <w:rPr>
          <w:rFonts w:cstheme="minorHAnsi"/>
        </w:rPr>
        <w:t xml:space="preserve"> </w:t>
      </w:r>
      <w:r w:rsidRPr="00D949BF">
        <w:rPr>
          <w:rFonts w:cstheme="minorHAnsi"/>
        </w:rPr>
        <w:t>domowej.</w:t>
      </w:r>
    </w:p>
    <w:p w14:paraId="1594BFBC" w14:textId="0284D0B5" w:rsidR="00BF56D1" w:rsidRPr="00BB38B8" w:rsidRDefault="00BF56D1" w:rsidP="00833330">
      <w:pPr>
        <w:pStyle w:val="Nagwek2"/>
        <w:rPr>
          <w:color w:val="1F3864" w:themeColor="accent1" w:themeShade="80"/>
        </w:rPr>
      </w:pPr>
      <w:bookmarkStart w:id="7" w:name="_Toc132287705"/>
      <w:r w:rsidRPr="00BB38B8">
        <w:rPr>
          <w:color w:val="1F3864" w:themeColor="accent1" w:themeShade="80"/>
        </w:rPr>
        <w:t>Kto stosuje przemoc domową?</w:t>
      </w:r>
      <w:bookmarkEnd w:id="7"/>
    </w:p>
    <w:p w14:paraId="48663F3C" w14:textId="10F32E3B" w:rsidR="00BF56D1" w:rsidRDefault="00BF56D1" w:rsidP="00876697">
      <w:pPr>
        <w:spacing w:before="240" w:line="360" w:lineRule="auto"/>
        <w:rPr>
          <w:rFonts w:cstheme="minorHAnsi"/>
        </w:rPr>
      </w:pPr>
      <w:r w:rsidRPr="00BF56D1">
        <w:rPr>
          <w:rFonts w:cstheme="minorHAnsi"/>
        </w:rPr>
        <w:t>Nowelizacja definiuje osobę stosującej przemoc domową – należy przez to rozumieć</w:t>
      </w:r>
      <w:r>
        <w:rPr>
          <w:rFonts w:cstheme="minorHAnsi"/>
        </w:rPr>
        <w:t xml:space="preserve"> </w:t>
      </w:r>
      <w:r w:rsidRPr="00BF56D1">
        <w:rPr>
          <w:rFonts w:cstheme="minorHAnsi"/>
        </w:rPr>
        <w:t>pełnoletniego, który dopuszcza się przemocy domowej wobec osób podlegających ochronie.</w:t>
      </w:r>
    </w:p>
    <w:p w14:paraId="3A98DC53" w14:textId="04A2B7A9" w:rsidR="00DB2978" w:rsidRPr="00BB38B8" w:rsidRDefault="00DB2978" w:rsidP="00833330">
      <w:pPr>
        <w:pStyle w:val="Nagwek2"/>
        <w:rPr>
          <w:color w:val="1F3864" w:themeColor="accent1" w:themeShade="80"/>
        </w:rPr>
      </w:pPr>
      <w:bookmarkStart w:id="8" w:name="_Toc132287706"/>
      <w:r w:rsidRPr="00BB38B8">
        <w:rPr>
          <w:color w:val="1F3864" w:themeColor="accent1" w:themeShade="80"/>
        </w:rPr>
        <w:t>Programy psychologiczno-terapeutyczne dla sprawców przemocy</w:t>
      </w:r>
      <w:bookmarkEnd w:id="8"/>
    </w:p>
    <w:p w14:paraId="53DD25ED" w14:textId="750AFEB0" w:rsidR="00DB2978" w:rsidRDefault="00887895" w:rsidP="00876697">
      <w:pPr>
        <w:spacing w:before="240" w:line="360" w:lineRule="auto"/>
        <w:rPr>
          <w:rFonts w:cstheme="minorHAnsi"/>
        </w:rPr>
      </w:pPr>
      <w:r w:rsidRPr="00887895">
        <w:rPr>
          <w:rFonts w:cstheme="minorHAnsi"/>
        </w:rPr>
        <w:t>Nowelizacja ma też na celu rozwój oddziaływań skierowanych do osób stosujących przemoc.</w:t>
      </w:r>
      <w:r>
        <w:rPr>
          <w:rFonts w:cstheme="minorHAnsi"/>
        </w:rPr>
        <w:t xml:space="preserve"> </w:t>
      </w:r>
      <w:r w:rsidRPr="00887895">
        <w:rPr>
          <w:rFonts w:cstheme="minorHAnsi"/>
        </w:rPr>
        <w:t>Projekt zakłada wprowadzenie przepisów dotyczących nowej formy wsparcia, czyli</w:t>
      </w:r>
      <w:r>
        <w:rPr>
          <w:rFonts w:cstheme="minorHAnsi"/>
        </w:rPr>
        <w:t xml:space="preserve"> </w:t>
      </w:r>
      <w:r w:rsidRPr="00887895">
        <w:rPr>
          <w:rFonts w:cstheme="minorHAnsi"/>
        </w:rPr>
        <w:t>programów psychologiczno-</w:t>
      </w:r>
      <w:r w:rsidRPr="00887895">
        <w:rPr>
          <w:rFonts w:cstheme="minorHAnsi"/>
        </w:rPr>
        <w:lastRenderedPageBreak/>
        <w:t>terapeutycznych dla osób stosujących przemoc domową.</w:t>
      </w:r>
      <w:r>
        <w:rPr>
          <w:rFonts w:cstheme="minorHAnsi"/>
        </w:rPr>
        <w:t xml:space="preserve"> </w:t>
      </w:r>
      <w:r w:rsidRPr="00887895">
        <w:rPr>
          <w:rFonts w:cstheme="minorHAnsi"/>
        </w:rPr>
        <w:t>Przewiduje też wprowadzenie przepisów umożliwiających złożenie zawiadomienia</w:t>
      </w:r>
      <w:r w:rsidR="00876697">
        <w:rPr>
          <w:rFonts w:cstheme="minorHAnsi"/>
        </w:rPr>
        <w:t xml:space="preserve"> </w:t>
      </w:r>
      <w:r w:rsidRPr="00887895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887895">
        <w:rPr>
          <w:rFonts w:cstheme="minorHAnsi"/>
        </w:rPr>
        <w:t>popełnieniu wykroczenia przez osobę stosującą przemoc domową,</w:t>
      </w:r>
      <w:r w:rsidR="00876697">
        <w:rPr>
          <w:rFonts w:cstheme="minorHAnsi"/>
        </w:rPr>
        <w:t xml:space="preserve"> </w:t>
      </w:r>
      <w:r w:rsidRPr="00887895">
        <w:rPr>
          <w:rFonts w:cstheme="minorHAnsi"/>
        </w:rPr>
        <w:t>w przypadku</w:t>
      </w:r>
      <w:r>
        <w:rPr>
          <w:rFonts w:cstheme="minorHAnsi"/>
        </w:rPr>
        <w:t xml:space="preserve"> </w:t>
      </w:r>
      <w:r w:rsidRPr="00887895">
        <w:rPr>
          <w:rFonts w:cstheme="minorHAnsi"/>
        </w:rPr>
        <w:t>uporczywego uchylania się osoby stosującej przemoc domową od udziału w programach</w:t>
      </w:r>
      <w:r>
        <w:rPr>
          <w:rFonts w:cstheme="minorHAnsi"/>
        </w:rPr>
        <w:t xml:space="preserve"> </w:t>
      </w:r>
      <w:r w:rsidRPr="00887895">
        <w:rPr>
          <w:rFonts w:cstheme="minorHAnsi"/>
        </w:rPr>
        <w:t>korekcyjno-edukacyjnych lub psychologiczno-terapeutycznych.</w:t>
      </w:r>
    </w:p>
    <w:p w14:paraId="3EF85E06" w14:textId="6A702382" w:rsidR="00595CC4" w:rsidRPr="00BB38B8" w:rsidRDefault="00595CC4" w:rsidP="00833330">
      <w:pPr>
        <w:pStyle w:val="Nagwek2"/>
        <w:rPr>
          <w:color w:val="1F3864" w:themeColor="accent1" w:themeShade="80"/>
        </w:rPr>
      </w:pPr>
      <w:bookmarkStart w:id="9" w:name="_Toc132287707"/>
      <w:r w:rsidRPr="00BB38B8">
        <w:rPr>
          <w:color w:val="1F3864" w:themeColor="accent1" w:themeShade="80"/>
        </w:rPr>
        <w:t>Policja zakaże zbliżania się i kontaktowania „</w:t>
      </w:r>
      <w:proofErr w:type="spellStart"/>
      <w:r w:rsidRPr="00BB38B8">
        <w:rPr>
          <w:color w:val="1F3864" w:themeColor="accent1" w:themeShade="80"/>
        </w:rPr>
        <w:t>przemocowca</w:t>
      </w:r>
      <w:proofErr w:type="spellEnd"/>
      <w:r w:rsidRPr="00BB38B8">
        <w:rPr>
          <w:color w:val="1F3864" w:themeColor="accent1" w:themeShade="80"/>
        </w:rPr>
        <w:t>” z osobą, którą krzywdzi</w:t>
      </w:r>
      <w:bookmarkEnd w:id="9"/>
    </w:p>
    <w:p w14:paraId="69381B62" w14:textId="6A464105" w:rsidR="000F1CF9" w:rsidRPr="000F1CF9" w:rsidRDefault="000F1CF9" w:rsidP="000A4691">
      <w:pPr>
        <w:spacing w:before="240" w:line="360" w:lineRule="auto"/>
        <w:rPr>
          <w:rFonts w:cstheme="minorHAnsi"/>
        </w:rPr>
      </w:pPr>
      <w:r w:rsidRPr="000F1CF9">
        <w:rPr>
          <w:rFonts w:cstheme="minorHAnsi"/>
        </w:rPr>
        <w:t>To kontynuacja rozwiązań, które weszły w życie pod koniec listopada</w:t>
      </w:r>
      <w:r w:rsidR="000A4691">
        <w:rPr>
          <w:rFonts w:cstheme="minorHAnsi"/>
        </w:rPr>
        <w:t xml:space="preserve"> </w:t>
      </w:r>
      <w:r w:rsidRPr="000F1CF9">
        <w:rPr>
          <w:rFonts w:cstheme="minorHAnsi"/>
        </w:rPr>
        <w:t>2020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r. - czyli nakazu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opuszczenia i zakazu zbliżenia się do lokalu. Chodzi o pakiet nowelizujący ustawy o Policji,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Żandarmerii Wojskowej</w:t>
      </w:r>
      <w:r w:rsidR="000A4691">
        <w:rPr>
          <w:rFonts w:cstheme="minorHAnsi"/>
        </w:rPr>
        <w:t xml:space="preserve"> </w:t>
      </w:r>
      <w:r w:rsidRPr="000F1CF9">
        <w:rPr>
          <w:rFonts w:cstheme="minorHAnsi"/>
        </w:rPr>
        <w:t>i w Kodeksie postępowania cywilnego - tzw. Ustawę</w:t>
      </w:r>
      <w:r>
        <w:rPr>
          <w:rFonts w:cstheme="minorHAnsi"/>
        </w:rPr>
        <w:t xml:space="preserve"> </w:t>
      </w:r>
      <w:proofErr w:type="spellStart"/>
      <w:r w:rsidRPr="000F1CF9">
        <w:rPr>
          <w:rFonts w:cstheme="minorHAnsi"/>
        </w:rPr>
        <w:t>antyprzemocową</w:t>
      </w:r>
      <w:proofErr w:type="spellEnd"/>
      <w:r w:rsidRPr="000F1CF9">
        <w:rPr>
          <w:rFonts w:cstheme="minorHAnsi"/>
        </w:rPr>
        <w:t xml:space="preserve"> 2.0 - Lex Romanowski (od nazwiska wiceministra sprawiedliwości dr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Marcina Romanowskiego), która została opublikowana w Dzienniku Ustaw,</w:t>
      </w:r>
      <w:r w:rsidR="000A4691">
        <w:rPr>
          <w:rFonts w:cstheme="minorHAnsi"/>
        </w:rPr>
        <w:t xml:space="preserve"> </w:t>
      </w:r>
      <w:r w:rsidRPr="000F1CF9">
        <w:rPr>
          <w:rFonts w:cstheme="minorHAnsi"/>
        </w:rPr>
        <w:t>a rozwiązania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wejdą w życie za sześć miesięcy.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Ta</w:t>
      </w:r>
      <w:r>
        <w:rPr>
          <w:rFonts w:cstheme="minorHAnsi"/>
        </w:rPr>
        <w:t>k</w:t>
      </w:r>
      <w:r w:rsidRPr="000F1CF9">
        <w:rPr>
          <w:rFonts w:cstheme="minorHAnsi"/>
        </w:rPr>
        <w:t xml:space="preserve"> jak w przypadku natychmiastowego nakazu opuszczenia lokalu i natychmiastowego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zakazu zbliżania się do niego – policjanci będą mogli stosować trzy nowe rozwiązania:</w:t>
      </w:r>
    </w:p>
    <w:p w14:paraId="287F60C2" w14:textId="24EA598C" w:rsidR="000F1CF9" w:rsidRPr="000F1CF9" w:rsidRDefault="000F1CF9" w:rsidP="000A4691">
      <w:pPr>
        <w:pStyle w:val="Akapitzlist"/>
        <w:numPr>
          <w:ilvl w:val="0"/>
          <w:numId w:val="55"/>
        </w:numPr>
        <w:spacing w:before="240" w:line="360" w:lineRule="auto"/>
        <w:rPr>
          <w:rFonts w:cstheme="minorHAnsi"/>
          <w:b/>
          <w:bCs/>
        </w:rPr>
      </w:pPr>
      <w:r w:rsidRPr="000F1CF9">
        <w:rPr>
          <w:rFonts w:cstheme="minorHAnsi"/>
          <w:b/>
          <w:bCs/>
        </w:rPr>
        <w:t>zakaz zbliżania się do osoby doznającej przemocy</w:t>
      </w:r>
      <w:r w:rsidR="00FE6573">
        <w:rPr>
          <w:rFonts w:cstheme="minorHAnsi"/>
          <w:b/>
          <w:bCs/>
        </w:rPr>
        <w:t xml:space="preserve"> </w:t>
      </w:r>
      <w:r w:rsidRPr="000F1CF9">
        <w:rPr>
          <w:rFonts w:cstheme="minorHAnsi"/>
          <w:b/>
          <w:bCs/>
        </w:rPr>
        <w:t>na określoną odległość;</w:t>
      </w:r>
    </w:p>
    <w:p w14:paraId="39AFCA5E" w14:textId="16BA6BEC" w:rsidR="000F1CF9" w:rsidRPr="000F1CF9" w:rsidRDefault="000F1CF9" w:rsidP="000A4691">
      <w:pPr>
        <w:pStyle w:val="Akapitzlist"/>
        <w:numPr>
          <w:ilvl w:val="0"/>
          <w:numId w:val="55"/>
        </w:numPr>
        <w:spacing w:before="240" w:line="360" w:lineRule="auto"/>
        <w:rPr>
          <w:rFonts w:cstheme="minorHAnsi"/>
          <w:b/>
          <w:bCs/>
        </w:rPr>
      </w:pPr>
      <w:r w:rsidRPr="000F1CF9">
        <w:rPr>
          <w:rFonts w:cstheme="minorHAnsi"/>
          <w:b/>
          <w:bCs/>
        </w:rPr>
        <w:t>bezwzględny zakaz kontaktowania się z nią;</w:t>
      </w:r>
    </w:p>
    <w:p w14:paraId="3CFC0451" w14:textId="1D17F5E2" w:rsidR="000F1CF9" w:rsidRPr="000F1CF9" w:rsidRDefault="000F1CF9" w:rsidP="000A4691">
      <w:pPr>
        <w:pStyle w:val="Akapitzlist"/>
        <w:numPr>
          <w:ilvl w:val="0"/>
          <w:numId w:val="55"/>
        </w:numPr>
        <w:spacing w:before="240" w:line="360" w:lineRule="auto"/>
        <w:rPr>
          <w:rFonts w:cstheme="minorHAnsi"/>
          <w:b/>
          <w:bCs/>
        </w:rPr>
      </w:pPr>
      <w:r w:rsidRPr="000F1CF9">
        <w:rPr>
          <w:rFonts w:cstheme="minorHAnsi"/>
          <w:b/>
          <w:bCs/>
        </w:rPr>
        <w:t>zakaz wstępu oraz przebywania w miejscach, w których się uczy lub pracuje (chodzi o szkołę, placówki oświatowo-wychowawcze, opiekuńcze, artystyczne, czy pracę).</w:t>
      </w:r>
    </w:p>
    <w:p w14:paraId="1D4FE8D3" w14:textId="61487916" w:rsidR="000F1CF9" w:rsidRDefault="000F1CF9" w:rsidP="000A4691">
      <w:pPr>
        <w:spacing w:before="240" w:line="360" w:lineRule="auto"/>
        <w:rPr>
          <w:rFonts w:cstheme="minorHAnsi"/>
        </w:rPr>
      </w:pPr>
      <w:r w:rsidRPr="000F1CF9">
        <w:rPr>
          <w:rFonts w:cstheme="minorHAnsi"/>
        </w:rPr>
        <w:t>Nowe zakazy będą stosowane tymczasowo - na okres 14 dni, a osoba doznająca przemocy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będzie mogła wystąpić do sądu o wydłużenie tego okresu. Sąd, zgodnie z propozycją,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powinien rozstrzygnąć to w ciągu</w:t>
      </w:r>
      <w:r w:rsidR="00FE6573">
        <w:rPr>
          <w:rFonts w:cstheme="minorHAnsi"/>
        </w:rPr>
        <w:t xml:space="preserve"> </w:t>
      </w:r>
      <w:r w:rsidRPr="000F1CF9">
        <w:rPr>
          <w:rFonts w:cstheme="minorHAnsi"/>
        </w:rPr>
        <w:t>30 dni.</w:t>
      </w:r>
      <w:r>
        <w:rPr>
          <w:rFonts w:cstheme="minorHAnsi"/>
        </w:rPr>
        <w:t xml:space="preserve"> </w:t>
      </w:r>
    </w:p>
    <w:p w14:paraId="2B0020D5" w14:textId="3F21EC7A" w:rsidR="00595CC4" w:rsidRDefault="000F1CF9" w:rsidP="000A4691">
      <w:pPr>
        <w:spacing w:before="240" w:line="360" w:lineRule="auto"/>
        <w:rPr>
          <w:rFonts w:cstheme="minorHAnsi"/>
        </w:rPr>
      </w:pPr>
      <w:r w:rsidRPr="000F1CF9">
        <w:rPr>
          <w:rFonts w:cstheme="minorHAnsi"/>
        </w:rPr>
        <w:lastRenderedPageBreak/>
        <w:t>Analogicznie jak w przypadku nakazu opuszczenia lokalu, sprawcy będzie przysługiwać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zażalenie - ale już do sądu rodzinnego. Ten będzie mógł taki zaskarżony zakaz uchylić.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Przypomnijmy, w przypadku natychmiastowej izolacji obowiązującej od 30 listopada 2020 r.,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takie zażalenie trzeba złożyć w ciągu trzech dni od daty doręczenia, a sąd uchylając nakaz,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ma niezwłocznie zawiadomić osobę dotkniętą przemocą w rodzinie, prokuratora, właściwą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jednostkę policji oraz zespół interdyscyplinarny,</w:t>
      </w:r>
      <w:r w:rsidR="00251202">
        <w:rPr>
          <w:rFonts w:cstheme="minorHAnsi"/>
        </w:rPr>
        <w:t xml:space="preserve"> </w:t>
      </w:r>
      <w:r w:rsidRPr="000F1CF9">
        <w:rPr>
          <w:rFonts w:cstheme="minorHAnsi"/>
        </w:rPr>
        <w:t>o którym mowa w przepisach ustawy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o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przeciwdziałaniu przemocy</w:t>
      </w:r>
      <w:r w:rsidR="00251202">
        <w:rPr>
          <w:rFonts w:cstheme="minorHAnsi"/>
        </w:rPr>
        <w:t xml:space="preserve"> </w:t>
      </w:r>
      <w:r w:rsidRPr="000F1CF9">
        <w:rPr>
          <w:rFonts w:cstheme="minorHAnsi"/>
        </w:rPr>
        <w:t>w rodzinie. Co więcej, resort chce również znieść w takich</w:t>
      </w:r>
      <w:r>
        <w:rPr>
          <w:rFonts w:cstheme="minorHAnsi"/>
        </w:rPr>
        <w:t xml:space="preserve"> </w:t>
      </w:r>
      <w:r w:rsidRPr="000F1CF9">
        <w:rPr>
          <w:rFonts w:cstheme="minorHAnsi"/>
        </w:rPr>
        <w:t>przypadkach koszty sądowe.</w:t>
      </w:r>
      <w:r w:rsidR="00251202">
        <w:rPr>
          <w:rFonts w:cstheme="minorHAnsi"/>
        </w:rPr>
        <w:t xml:space="preserve"> </w:t>
      </w:r>
      <w:r w:rsidRPr="000F1CF9">
        <w:rPr>
          <w:rFonts w:cstheme="minorHAnsi"/>
        </w:rPr>
        <w:t>Z kolei przy przedłużaniu okresu obowiązywania zakazów - sąd będzie mógł określić np.</w:t>
      </w:r>
      <w:r w:rsidR="00A37651">
        <w:rPr>
          <w:rFonts w:cstheme="minorHAnsi"/>
        </w:rPr>
        <w:t xml:space="preserve"> </w:t>
      </w:r>
      <w:r w:rsidRPr="000F1CF9">
        <w:rPr>
          <w:rFonts w:cstheme="minorHAnsi"/>
        </w:rPr>
        <w:t>zasady kontaktowania się sprawcy ze wspólnymi dziećmi, czy szczegóły dotyczące zakazu</w:t>
      </w:r>
      <w:r w:rsidR="00A37651">
        <w:rPr>
          <w:rFonts w:cstheme="minorHAnsi"/>
        </w:rPr>
        <w:t xml:space="preserve"> </w:t>
      </w:r>
      <w:r w:rsidRPr="000F1CF9">
        <w:rPr>
          <w:rFonts w:cstheme="minorHAnsi"/>
        </w:rPr>
        <w:t>wstępu do określonych miejsc.</w:t>
      </w:r>
    </w:p>
    <w:p w14:paraId="15A6BFD0" w14:textId="5BFFBD74" w:rsidR="006C1CF2" w:rsidRPr="00BB38B8" w:rsidRDefault="006C1CF2" w:rsidP="00833330">
      <w:pPr>
        <w:pStyle w:val="Nagwek2"/>
        <w:rPr>
          <w:color w:val="1F3864" w:themeColor="accent1" w:themeShade="80"/>
        </w:rPr>
      </w:pPr>
      <w:bookmarkStart w:id="10" w:name="_Toc132287708"/>
      <w:r w:rsidRPr="00BB38B8">
        <w:rPr>
          <w:color w:val="1F3864" w:themeColor="accent1" w:themeShade="80"/>
        </w:rPr>
        <w:t>10. Zakaz kontaktu za stalking</w:t>
      </w:r>
      <w:bookmarkEnd w:id="10"/>
    </w:p>
    <w:p w14:paraId="4A0B03A0" w14:textId="0E85DEA3" w:rsidR="006C1CF2" w:rsidRPr="006C1CF2" w:rsidRDefault="006C1CF2" w:rsidP="00251202">
      <w:pPr>
        <w:spacing w:before="240" w:line="360" w:lineRule="auto"/>
        <w:rPr>
          <w:rFonts w:cstheme="minorHAnsi"/>
        </w:rPr>
      </w:pPr>
      <w:r w:rsidRPr="006C1CF2">
        <w:rPr>
          <w:rFonts w:cstheme="minorHAnsi"/>
        </w:rPr>
        <w:t>Nakazy będą mogły zostać orzeczone także przez sąd cywilny, którego kompetencje będą</w:t>
      </w:r>
      <w:r>
        <w:rPr>
          <w:rFonts w:cstheme="minorHAnsi"/>
        </w:rPr>
        <w:t xml:space="preserve"> </w:t>
      </w:r>
      <w:r w:rsidRPr="006C1CF2">
        <w:rPr>
          <w:rFonts w:cstheme="minorHAnsi"/>
        </w:rPr>
        <w:t>szersze. Sąd będzie mógł wydać zakaz kontaktowania się, gdy mamy do czynienia z tzw.</w:t>
      </w:r>
      <w:r>
        <w:rPr>
          <w:rFonts w:cstheme="minorHAnsi"/>
        </w:rPr>
        <w:t xml:space="preserve"> </w:t>
      </w:r>
      <w:r w:rsidRPr="006C1CF2">
        <w:rPr>
          <w:rFonts w:cstheme="minorHAnsi"/>
        </w:rPr>
        <w:t>stalkingiem, kiedy sprawca przemocy domowej:</w:t>
      </w:r>
    </w:p>
    <w:p w14:paraId="2396DEC1" w14:textId="5B8B0A21" w:rsidR="006C1CF2" w:rsidRPr="006C1CF2" w:rsidRDefault="006C1CF2" w:rsidP="00251202">
      <w:pPr>
        <w:pStyle w:val="Akapitzlist"/>
        <w:numPr>
          <w:ilvl w:val="0"/>
          <w:numId w:val="57"/>
        </w:numPr>
        <w:spacing w:before="240" w:line="360" w:lineRule="auto"/>
        <w:rPr>
          <w:rFonts w:cstheme="minorHAnsi"/>
          <w:b/>
          <w:bCs/>
        </w:rPr>
      </w:pPr>
      <w:r w:rsidRPr="006C1CF2">
        <w:rPr>
          <w:rFonts w:cstheme="minorHAnsi"/>
          <w:b/>
          <w:bCs/>
        </w:rPr>
        <w:t>nęka swą ofiarę za pomocą środków komunikacji elektronicznej na odległość,</w:t>
      </w:r>
    </w:p>
    <w:p w14:paraId="1D3EF7A2" w14:textId="72041CCD" w:rsidR="006C1CF2" w:rsidRPr="006C1CF2" w:rsidRDefault="006C1CF2" w:rsidP="00251202">
      <w:pPr>
        <w:pStyle w:val="Akapitzlist"/>
        <w:numPr>
          <w:ilvl w:val="0"/>
          <w:numId w:val="57"/>
        </w:numPr>
        <w:spacing w:before="240" w:line="360" w:lineRule="auto"/>
        <w:rPr>
          <w:rFonts w:cstheme="minorHAnsi"/>
          <w:b/>
          <w:bCs/>
        </w:rPr>
      </w:pPr>
      <w:r w:rsidRPr="006C1CF2">
        <w:rPr>
          <w:rFonts w:cstheme="minorHAnsi"/>
          <w:b/>
          <w:bCs/>
        </w:rPr>
        <w:t>wzbudza u niej uzasadnione okolicznościami poczucie zagrożenia, poniżenia lub udręczenia - w istotny sposób narusza jej prywatność.</w:t>
      </w:r>
    </w:p>
    <w:p w14:paraId="2DD669D4" w14:textId="4255BEB5" w:rsidR="006C1CF2" w:rsidRDefault="006C1CF2" w:rsidP="00251202">
      <w:pPr>
        <w:spacing w:before="240" w:line="360" w:lineRule="auto"/>
        <w:rPr>
          <w:rFonts w:cstheme="minorHAnsi"/>
        </w:rPr>
      </w:pPr>
      <w:r w:rsidRPr="006C1CF2">
        <w:rPr>
          <w:rFonts w:cstheme="minorHAnsi"/>
        </w:rPr>
        <w:t>Zakazem wstępu i przebywania sąd będzie mógł objąć także miejsca,</w:t>
      </w:r>
      <w:r w:rsidR="00251202">
        <w:rPr>
          <w:rFonts w:cstheme="minorHAnsi"/>
        </w:rPr>
        <w:t xml:space="preserve"> </w:t>
      </w:r>
      <w:r w:rsidRPr="006C1CF2">
        <w:rPr>
          <w:rFonts w:cstheme="minorHAnsi"/>
        </w:rPr>
        <w:t>w których osoba</w:t>
      </w:r>
      <w:r w:rsidR="00D754D1">
        <w:rPr>
          <w:rFonts w:cstheme="minorHAnsi"/>
        </w:rPr>
        <w:t xml:space="preserve"> </w:t>
      </w:r>
      <w:r w:rsidRPr="006C1CF2">
        <w:rPr>
          <w:rFonts w:cstheme="minorHAnsi"/>
        </w:rPr>
        <w:t>dotknięta przemocą regularnie przebywa. Zakaz kontaktowania się w tak szerokiej postaci</w:t>
      </w:r>
      <w:r w:rsidR="00D754D1">
        <w:rPr>
          <w:rFonts w:cstheme="minorHAnsi"/>
        </w:rPr>
        <w:t xml:space="preserve"> </w:t>
      </w:r>
      <w:r w:rsidRPr="006C1CF2">
        <w:rPr>
          <w:rFonts w:cstheme="minorHAnsi"/>
        </w:rPr>
        <w:t>będzie mógł zostać orzeczony również, gdy nie toczy się postępowanie karne.</w:t>
      </w:r>
    </w:p>
    <w:p w14:paraId="1756052F" w14:textId="6BD4502F" w:rsidR="0009680F" w:rsidRPr="00BB38B8" w:rsidRDefault="0009680F" w:rsidP="00833330">
      <w:pPr>
        <w:pStyle w:val="Nagwek2"/>
        <w:rPr>
          <w:color w:val="1F3864" w:themeColor="accent1" w:themeShade="80"/>
        </w:rPr>
      </w:pPr>
      <w:bookmarkStart w:id="11" w:name="_Toc132287709"/>
      <w:r w:rsidRPr="00BB38B8">
        <w:rPr>
          <w:color w:val="1F3864" w:themeColor="accent1" w:themeShade="80"/>
        </w:rPr>
        <w:lastRenderedPageBreak/>
        <w:t>11. Gdzie uzyskać pomoc?</w:t>
      </w:r>
      <w:bookmarkEnd w:id="11"/>
    </w:p>
    <w:p w14:paraId="5F2639C5" w14:textId="77777777" w:rsidR="00251202" w:rsidRDefault="003B7542" w:rsidP="00251202">
      <w:pPr>
        <w:pStyle w:val="Nagwek3"/>
      </w:pPr>
      <w:r w:rsidRPr="000C0CC3">
        <w:t>Powiatowe Centrum Pomocy Rodzinie</w:t>
      </w:r>
    </w:p>
    <w:p w14:paraId="2EF27E1E" w14:textId="63F8E997" w:rsidR="003B7542" w:rsidRPr="00251202" w:rsidRDefault="00251202" w:rsidP="00251202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3B7542" w:rsidRPr="000C0CC3">
        <w:rPr>
          <w:rFonts w:cstheme="minorHAnsi"/>
        </w:rPr>
        <w:t>ul. Dworcowa 23</w:t>
      </w:r>
      <w:r>
        <w:rPr>
          <w:rFonts w:cstheme="minorHAnsi"/>
        </w:rPr>
        <w:t xml:space="preserve"> </w:t>
      </w:r>
      <w:r w:rsidR="003B7542" w:rsidRPr="000C0CC3">
        <w:rPr>
          <w:rFonts w:cstheme="minorHAnsi"/>
        </w:rPr>
        <w:t>43-200 Pszczyna</w:t>
      </w:r>
      <w:r>
        <w:rPr>
          <w:rFonts w:cstheme="minorHAnsi"/>
        </w:rPr>
        <w:t xml:space="preserve"> </w:t>
      </w:r>
      <w:r w:rsidR="003B7542" w:rsidRPr="000C0CC3">
        <w:rPr>
          <w:rFonts w:cstheme="minorHAnsi"/>
        </w:rPr>
        <w:t>Tel/fax. 32 449 01 45</w:t>
      </w:r>
    </w:p>
    <w:p w14:paraId="3FF139DB" w14:textId="1A45E928" w:rsidR="0009680F" w:rsidRPr="0009680F" w:rsidRDefault="0009680F" w:rsidP="00251202">
      <w:pPr>
        <w:pStyle w:val="Nagwek3"/>
      </w:pPr>
      <w:r w:rsidRPr="0009680F">
        <w:t xml:space="preserve">Punkt Interwencji Kryzysowej dla </w:t>
      </w:r>
      <w:proofErr w:type="gramStart"/>
      <w:r w:rsidRPr="0009680F">
        <w:t xml:space="preserve">mieszkańców </w:t>
      </w:r>
      <w:r w:rsidR="00251202">
        <w:t xml:space="preserve"> </w:t>
      </w:r>
      <w:r w:rsidRPr="0009680F">
        <w:t>Powiatu</w:t>
      </w:r>
      <w:proofErr w:type="gramEnd"/>
      <w:r w:rsidRPr="0009680F">
        <w:t xml:space="preserve"> Pszczyńskiego</w:t>
      </w:r>
    </w:p>
    <w:p w14:paraId="13EF01F9" w14:textId="49E4FFA2" w:rsidR="0009680F" w:rsidRPr="0009680F" w:rsidRDefault="0009680F" w:rsidP="0009680F">
      <w:pPr>
        <w:spacing w:line="360" w:lineRule="auto"/>
        <w:jc w:val="both"/>
        <w:rPr>
          <w:rFonts w:cstheme="minorHAnsi"/>
        </w:rPr>
      </w:pPr>
      <w:r w:rsidRPr="0009680F">
        <w:rPr>
          <w:rFonts w:cstheme="minorHAnsi"/>
        </w:rPr>
        <w:t>ul. Dworcowa 23</w:t>
      </w:r>
      <w:r w:rsidR="00251202">
        <w:rPr>
          <w:rFonts w:cstheme="minorHAnsi"/>
        </w:rPr>
        <w:t xml:space="preserve"> </w:t>
      </w:r>
      <w:r w:rsidRPr="0009680F">
        <w:rPr>
          <w:rFonts w:cstheme="minorHAnsi"/>
        </w:rPr>
        <w:t>43-200 Pszczyna</w:t>
      </w:r>
    </w:p>
    <w:p w14:paraId="532B6115" w14:textId="083BDFFC" w:rsidR="0009680F" w:rsidRPr="0009680F" w:rsidRDefault="0009680F" w:rsidP="0009680F">
      <w:pPr>
        <w:pStyle w:val="Akapitzlist"/>
        <w:numPr>
          <w:ilvl w:val="0"/>
          <w:numId w:val="57"/>
        </w:numPr>
        <w:spacing w:before="240" w:line="360" w:lineRule="auto"/>
        <w:jc w:val="both"/>
        <w:rPr>
          <w:rFonts w:cstheme="minorHAnsi"/>
        </w:rPr>
      </w:pPr>
      <w:r w:rsidRPr="0009680F">
        <w:rPr>
          <w:rFonts w:cstheme="minorHAnsi"/>
        </w:rPr>
        <w:t>psycholog</w:t>
      </w:r>
      <w:r w:rsidR="000C0CC3">
        <w:rPr>
          <w:rFonts w:cstheme="minorHAnsi"/>
        </w:rPr>
        <w:t>:</w:t>
      </w:r>
      <w:r w:rsidRPr="0009680F">
        <w:rPr>
          <w:rFonts w:cstheme="minorHAnsi"/>
        </w:rPr>
        <w:t xml:space="preserve"> 32</w:t>
      </w:r>
      <w:r w:rsidR="00ED3F98">
        <w:rPr>
          <w:rFonts w:cstheme="minorHAnsi"/>
        </w:rPr>
        <w:t> </w:t>
      </w:r>
      <w:r w:rsidRPr="0009680F">
        <w:rPr>
          <w:rFonts w:cstheme="minorHAnsi"/>
        </w:rPr>
        <w:t>449</w:t>
      </w:r>
      <w:r w:rsidR="00ED3F98">
        <w:rPr>
          <w:rFonts w:cstheme="minorHAnsi"/>
        </w:rPr>
        <w:t xml:space="preserve"> </w:t>
      </w:r>
      <w:r w:rsidRPr="0009680F">
        <w:rPr>
          <w:rFonts w:cstheme="minorHAnsi"/>
        </w:rPr>
        <w:t>01</w:t>
      </w:r>
      <w:r w:rsidR="00ED3F98">
        <w:rPr>
          <w:rFonts w:cstheme="minorHAnsi"/>
        </w:rPr>
        <w:t xml:space="preserve"> </w:t>
      </w:r>
      <w:r w:rsidRPr="0009680F">
        <w:rPr>
          <w:rFonts w:cstheme="minorHAnsi"/>
        </w:rPr>
        <w:t>45 wew. 27</w:t>
      </w:r>
    </w:p>
    <w:p w14:paraId="4238423D" w14:textId="2CD08C56" w:rsidR="0009680F" w:rsidRPr="0009680F" w:rsidRDefault="0009680F" w:rsidP="0009680F">
      <w:pPr>
        <w:pStyle w:val="Akapitzlist"/>
        <w:numPr>
          <w:ilvl w:val="0"/>
          <w:numId w:val="57"/>
        </w:numPr>
        <w:spacing w:before="240" w:line="360" w:lineRule="auto"/>
        <w:jc w:val="both"/>
        <w:rPr>
          <w:rFonts w:cstheme="minorHAnsi"/>
        </w:rPr>
      </w:pPr>
      <w:r w:rsidRPr="0009680F">
        <w:rPr>
          <w:rFonts w:cstheme="minorHAnsi"/>
        </w:rPr>
        <w:t>pracownicy socjalni</w:t>
      </w:r>
      <w:r w:rsidR="000C0CC3">
        <w:rPr>
          <w:rFonts w:cstheme="minorHAnsi"/>
        </w:rPr>
        <w:t>:</w:t>
      </w:r>
      <w:r w:rsidRPr="0009680F">
        <w:rPr>
          <w:rFonts w:cstheme="minorHAnsi"/>
        </w:rPr>
        <w:t xml:space="preserve"> 32</w:t>
      </w:r>
      <w:r w:rsidR="00ED3F98">
        <w:rPr>
          <w:rFonts w:cstheme="minorHAnsi"/>
        </w:rPr>
        <w:t> </w:t>
      </w:r>
      <w:r w:rsidRPr="0009680F">
        <w:rPr>
          <w:rFonts w:cstheme="minorHAnsi"/>
        </w:rPr>
        <w:t>449</w:t>
      </w:r>
      <w:r w:rsidR="00ED3F98">
        <w:rPr>
          <w:rFonts w:cstheme="minorHAnsi"/>
        </w:rPr>
        <w:t xml:space="preserve"> </w:t>
      </w:r>
      <w:r w:rsidRPr="0009680F">
        <w:rPr>
          <w:rFonts w:cstheme="minorHAnsi"/>
        </w:rPr>
        <w:t>01</w:t>
      </w:r>
      <w:r w:rsidR="00ED3F98">
        <w:rPr>
          <w:rFonts w:cstheme="minorHAnsi"/>
        </w:rPr>
        <w:t xml:space="preserve"> </w:t>
      </w:r>
      <w:r w:rsidRPr="0009680F">
        <w:rPr>
          <w:rFonts w:cstheme="minorHAnsi"/>
        </w:rPr>
        <w:t>45 wew. 30</w:t>
      </w:r>
    </w:p>
    <w:p w14:paraId="05808BA4" w14:textId="1B2772F2" w:rsidR="008B73A8" w:rsidRPr="00251202" w:rsidRDefault="0009680F" w:rsidP="000C0CC3">
      <w:pPr>
        <w:pStyle w:val="Akapitzlist"/>
        <w:numPr>
          <w:ilvl w:val="0"/>
          <w:numId w:val="57"/>
        </w:numPr>
        <w:spacing w:before="240" w:line="360" w:lineRule="auto"/>
        <w:jc w:val="both"/>
        <w:rPr>
          <w:rFonts w:cstheme="minorHAnsi"/>
        </w:rPr>
      </w:pPr>
      <w:r w:rsidRPr="0009680F">
        <w:rPr>
          <w:rFonts w:cstheme="minorHAnsi"/>
        </w:rPr>
        <w:t>zapisy do prawnika i psychologa 32 44 90 145 wew.29</w:t>
      </w:r>
    </w:p>
    <w:p w14:paraId="05604990" w14:textId="77777777" w:rsidR="0009680F" w:rsidRPr="0009680F" w:rsidRDefault="0009680F" w:rsidP="003706BA">
      <w:pPr>
        <w:pStyle w:val="Nagwek3"/>
      </w:pPr>
      <w:r w:rsidRPr="0009680F">
        <w:t>Ważne numery telefonu:</w:t>
      </w:r>
    </w:p>
    <w:p w14:paraId="5398A831" w14:textId="38A4801F" w:rsidR="0009680F" w:rsidRPr="008B73A8" w:rsidRDefault="008B73A8" w:rsidP="00EB4A1E">
      <w:pPr>
        <w:pStyle w:val="Akapitzlist"/>
        <w:numPr>
          <w:ilvl w:val="0"/>
          <w:numId w:val="59"/>
        </w:numPr>
        <w:spacing w:before="240" w:line="360" w:lineRule="auto"/>
        <w:rPr>
          <w:rFonts w:cstheme="minorHAnsi"/>
        </w:rPr>
      </w:pPr>
      <w:r w:rsidRPr="008B73A8">
        <w:rPr>
          <w:rFonts w:cstheme="minorHAnsi"/>
          <w:b/>
          <w:bCs/>
        </w:rPr>
        <w:t>Ogólnopolskie Pogotowie dla Ofiar Przemocy w Rodzinie „NIEBIESKA LINIA”</w:t>
      </w:r>
      <w:r w:rsidRPr="008B73A8">
        <w:rPr>
          <w:rFonts w:cstheme="minorHAnsi"/>
        </w:rPr>
        <w:t xml:space="preserve"> - </w:t>
      </w:r>
      <w:r w:rsidR="0009680F" w:rsidRPr="008B73A8">
        <w:rPr>
          <w:rFonts w:cstheme="minorHAnsi"/>
        </w:rPr>
        <w:t>800 12 00 02 (numer czynny całą dobę)</w:t>
      </w:r>
      <w:r>
        <w:rPr>
          <w:rFonts w:cstheme="minorHAnsi"/>
        </w:rPr>
        <w:t>;</w:t>
      </w:r>
    </w:p>
    <w:p w14:paraId="2279384B" w14:textId="23065E38" w:rsidR="0009680F" w:rsidRPr="0009680F" w:rsidRDefault="008B73A8" w:rsidP="00EB4A1E">
      <w:pPr>
        <w:pStyle w:val="Akapitzlist"/>
        <w:numPr>
          <w:ilvl w:val="0"/>
          <w:numId w:val="59"/>
        </w:numPr>
        <w:spacing w:before="240" w:line="360" w:lineRule="auto"/>
        <w:rPr>
          <w:rFonts w:cstheme="minorHAnsi"/>
        </w:rPr>
      </w:pPr>
      <w:r w:rsidRPr="008B73A8">
        <w:rPr>
          <w:rFonts w:cstheme="minorHAnsi"/>
          <w:b/>
          <w:bCs/>
        </w:rPr>
        <w:t>Centrum Praw Kobiet</w:t>
      </w:r>
      <w:r>
        <w:rPr>
          <w:rFonts w:cstheme="minorHAnsi"/>
        </w:rPr>
        <w:t xml:space="preserve"> -</w:t>
      </w:r>
      <w:r w:rsidRPr="0009680F">
        <w:rPr>
          <w:rFonts w:cstheme="minorHAnsi"/>
        </w:rPr>
        <w:t xml:space="preserve"> </w:t>
      </w:r>
      <w:r w:rsidR="0009680F" w:rsidRPr="008B73A8">
        <w:rPr>
          <w:rFonts w:cstheme="minorHAnsi"/>
        </w:rPr>
        <w:t>600 070 717</w:t>
      </w:r>
      <w:r w:rsidR="0009680F" w:rsidRPr="0009680F">
        <w:rPr>
          <w:rFonts w:cstheme="minorHAnsi"/>
        </w:rPr>
        <w:t xml:space="preserve"> (numer czynny całą dobę)</w:t>
      </w:r>
      <w:r>
        <w:rPr>
          <w:rFonts w:cstheme="minorHAnsi"/>
        </w:rPr>
        <w:t>;</w:t>
      </w:r>
    </w:p>
    <w:p w14:paraId="1F715C95" w14:textId="09793239" w:rsidR="0009680F" w:rsidRPr="0009680F" w:rsidRDefault="008B73A8" w:rsidP="00EB4A1E">
      <w:pPr>
        <w:pStyle w:val="Akapitzlist"/>
        <w:numPr>
          <w:ilvl w:val="0"/>
          <w:numId w:val="59"/>
        </w:numPr>
        <w:spacing w:before="240" w:line="360" w:lineRule="auto"/>
        <w:rPr>
          <w:rFonts w:cstheme="minorHAnsi"/>
        </w:rPr>
      </w:pPr>
      <w:r w:rsidRPr="008B73A8">
        <w:rPr>
          <w:rFonts w:cstheme="minorHAnsi"/>
          <w:b/>
          <w:bCs/>
        </w:rPr>
        <w:t xml:space="preserve">Fundacja </w:t>
      </w:r>
      <w:proofErr w:type="spellStart"/>
      <w:proofErr w:type="gramStart"/>
      <w:r w:rsidRPr="008B73A8">
        <w:rPr>
          <w:rFonts w:cstheme="minorHAnsi"/>
          <w:b/>
          <w:bCs/>
        </w:rPr>
        <w:t>Feminoteka</w:t>
      </w:r>
      <w:proofErr w:type="spellEnd"/>
      <w:r w:rsidRPr="008B73A8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 -</w:t>
      </w:r>
      <w:proofErr w:type="gramEnd"/>
      <w:r>
        <w:rPr>
          <w:rFonts w:cstheme="minorHAnsi"/>
        </w:rPr>
        <w:t xml:space="preserve"> </w:t>
      </w:r>
      <w:r w:rsidR="0009680F" w:rsidRPr="0009680F">
        <w:rPr>
          <w:rFonts w:cstheme="minorHAnsi"/>
        </w:rPr>
        <w:t>888 88 33 88</w:t>
      </w:r>
      <w:r w:rsidR="003706BA">
        <w:rPr>
          <w:rFonts w:cstheme="minorHAnsi"/>
        </w:rPr>
        <w:t xml:space="preserve"> </w:t>
      </w:r>
      <w:r w:rsidR="0009680F" w:rsidRPr="0009680F">
        <w:rPr>
          <w:rFonts w:cstheme="minorHAnsi"/>
        </w:rPr>
        <w:t xml:space="preserve">(od poniedziałku do piątku w godz. 8:00-20:00) </w:t>
      </w:r>
      <w:r>
        <w:rPr>
          <w:rFonts w:cstheme="minorHAnsi"/>
        </w:rPr>
        <w:t>;</w:t>
      </w:r>
    </w:p>
    <w:p w14:paraId="5AF9709B" w14:textId="09886CFB" w:rsidR="0009680F" w:rsidRPr="0009680F" w:rsidRDefault="008B73A8" w:rsidP="00EB4A1E">
      <w:pPr>
        <w:pStyle w:val="Akapitzlist"/>
        <w:numPr>
          <w:ilvl w:val="0"/>
          <w:numId w:val="59"/>
        </w:numPr>
        <w:spacing w:before="240" w:line="360" w:lineRule="auto"/>
        <w:rPr>
          <w:rFonts w:cstheme="minorHAnsi"/>
        </w:rPr>
      </w:pPr>
      <w:r w:rsidRPr="008B73A8">
        <w:rPr>
          <w:rFonts w:cstheme="minorHAnsi"/>
          <w:b/>
          <w:bCs/>
        </w:rPr>
        <w:t>Niebieska Linia</w:t>
      </w:r>
      <w:r w:rsidRPr="0009680F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09680F" w:rsidRPr="0009680F">
        <w:rPr>
          <w:rFonts w:cstheme="minorHAnsi"/>
        </w:rPr>
        <w:t>226687000 (czynny codziennie w godz. 12:00 -18:00)</w:t>
      </w:r>
      <w:r>
        <w:rPr>
          <w:rFonts w:cstheme="minorHAnsi"/>
        </w:rPr>
        <w:t>;</w:t>
      </w:r>
    </w:p>
    <w:p w14:paraId="2E61D828" w14:textId="51C99C78" w:rsidR="0009680F" w:rsidRPr="0009680F" w:rsidRDefault="008B73A8" w:rsidP="00EB4A1E">
      <w:pPr>
        <w:pStyle w:val="Akapitzlist"/>
        <w:numPr>
          <w:ilvl w:val="0"/>
          <w:numId w:val="59"/>
        </w:numPr>
        <w:spacing w:before="240" w:line="360" w:lineRule="auto"/>
        <w:rPr>
          <w:rFonts w:cstheme="minorHAnsi"/>
        </w:rPr>
      </w:pPr>
      <w:r w:rsidRPr="008B73A8">
        <w:rPr>
          <w:rFonts w:cstheme="minorHAnsi"/>
          <w:b/>
          <w:bCs/>
        </w:rPr>
        <w:t xml:space="preserve">Fundacja Dajemy Dzieciom Siłę </w:t>
      </w:r>
      <w:r>
        <w:rPr>
          <w:rFonts w:cstheme="minorHAnsi"/>
        </w:rPr>
        <w:t xml:space="preserve">- </w:t>
      </w:r>
      <w:r w:rsidR="0009680F" w:rsidRPr="0009680F">
        <w:rPr>
          <w:rFonts w:cstheme="minorHAnsi"/>
        </w:rPr>
        <w:t>116 111 (numer czynny całą dobę)</w:t>
      </w:r>
      <w:r>
        <w:rPr>
          <w:rFonts w:cstheme="minorHAnsi"/>
        </w:rPr>
        <w:t>;</w:t>
      </w:r>
    </w:p>
    <w:p w14:paraId="08320D85" w14:textId="1F28140F" w:rsidR="0009680F" w:rsidRPr="008B73A8" w:rsidRDefault="008B73A8" w:rsidP="00EB4A1E">
      <w:pPr>
        <w:pStyle w:val="Akapitzlist"/>
        <w:numPr>
          <w:ilvl w:val="0"/>
          <w:numId w:val="59"/>
        </w:numPr>
        <w:spacing w:before="240" w:line="360" w:lineRule="auto"/>
        <w:rPr>
          <w:rFonts w:cstheme="minorHAnsi"/>
        </w:rPr>
      </w:pPr>
      <w:r w:rsidRPr="008B73A8">
        <w:rPr>
          <w:rFonts w:cstheme="minorHAnsi"/>
          <w:b/>
          <w:bCs/>
        </w:rPr>
        <w:t>Stowarzyszenie Na Rzecz Poradnictwa Obywatelskiego „DOGMA” infolinia pomocy prawnej</w:t>
      </w:r>
      <w:r w:rsidRPr="008B73A8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="0009680F" w:rsidRPr="008B73A8">
        <w:rPr>
          <w:rFonts w:cstheme="minorHAnsi"/>
        </w:rPr>
        <w:t>79 88 69</w:t>
      </w:r>
      <w:r>
        <w:rPr>
          <w:rFonts w:cstheme="minorHAnsi"/>
        </w:rPr>
        <w:t> </w:t>
      </w:r>
      <w:r w:rsidR="0009680F" w:rsidRPr="008B73A8">
        <w:rPr>
          <w:rFonts w:cstheme="minorHAnsi"/>
        </w:rPr>
        <w:t>599</w:t>
      </w:r>
      <w:r>
        <w:rPr>
          <w:rFonts w:cstheme="minorHAnsi"/>
        </w:rPr>
        <w:t>;</w:t>
      </w:r>
    </w:p>
    <w:p w14:paraId="17656121" w14:textId="30C5C979" w:rsidR="0009680F" w:rsidRPr="00C9762A" w:rsidRDefault="008B73A8" w:rsidP="00EB4A1E">
      <w:pPr>
        <w:pStyle w:val="Akapitzlist"/>
        <w:numPr>
          <w:ilvl w:val="0"/>
          <w:numId w:val="59"/>
        </w:numPr>
        <w:spacing w:before="240" w:line="360" w:lineRule="auto"/>
        <w:rPr>
          <w:b/>
          <w:bCs/>
        </w:rPr>
      </w:pPr>
      <w:r w:rsidRPr="008B73A8">
        <w:rPr>
          <w:rFonts w:cstheme="minorHAnsi"/>
          <w:b/>
          <w:bCs/>
        </w:rPr>
        <w:t>Numer alarmowy</w:t>
      </w:r>
      <w:r w:rsidRPr="0009680F">
        <w:rPr>
          <w:rFonts w:cstheme="minorHAnsi"/>
        </w:rPr>
        <w:t xml:space="preserve"> </w:t>
      </w:r>
      <w:r>
        <w:rPr>
          <w:rFonts w:cstheme="minorHAnsi"/>
        </w:rPr>
        <w:t xml:space="preserve">– </w:t>
      </w:r>
      <w:r w:rsidR="0009680F" w:rsidRPr="0009680F">
        <w:rPr>
          <w:rFonts w:cstheme="minorHAnsi"/>
        </w:rPr>
        <w:t>112</w:t>
      </w:r>
      <w:r>
        <w:rPr>
          <w:rFonts w:cstheme="minorHAnsi"/>
        </w:rPr>
        <w:t>.</w:t>
      </w:r>
    </w:p>
    <w:p w14:paraId="2038C721" w14:textId="77777777" w:rsidR="00C9762A" w:rsidRPr="00BB38B8" w:rsidRDefault="00C9762A" w:rsidP="00C9762A">
      <w:pPr>
        <w:pStyle w:val="Nagwek2"/>
        <w:rPr>
          <w:color w:val="1F3864" w:themeColor="accent1" w:themeShade="80"/>
        </w:rPr>
      </w:pPr>
      <w:r w:rsidRPr="00BB38B8">
        <w:rPr>
          <w:color w:val="1F3864" w:themeColor="accent1" w:themeShade="80"/>
        </w:rPr>
        <w:t>Stowarzyszenie "Dogma" zaprasza do punktów poradniczych prowadzonych w Powiecie Pszczyńskim</w:t>
      </w:r>
    </w:p>
    <w:p w14:paraId="3D3C0705" w14:textId="77777777" w:rsidR="00C9762A" w:rsidRPr="00766EC7" w:rsidRDefault="00C9762A" w:rsidP="00C9762A">
      <w:pPr>
        <w:pStyle w:val="Akapitzlist"/>
        <w:numPr>
          <w:ilvl w:val="0"/>
          <w:numId w:val="60"/>
        </w:numPr>
        <w:spacing w:after="160" w:line="360" w:lineRule="auto"/>
        <w:jc w:val="both"/>
        <w:rPr>
          <w:rFonts w:cs="Arial"/>
          <w:szCs w:val="24"/>
        </w:rPr>
      </w:pPr>
      <w:r>
        <w:t>Punkt Nieodpłatnej Pomocy Prawnej Gminny Ośrodek Kultury (Goczałkowice-Zdrój) ul. Uzdrowiskowa 61, Środa i piątek od 11.00 do 15.00</w:t>
      </w:r>
      <w:r w:rsidRPr="003B236D">
        <w:t xml:space="preserve"> </w:t>
      </w:r>
    </w:p>
    <w:p w14:paraId="42E60FFA" w14:textId="77777777" w:rsidR="00C9762A" w:rsidRDefault="00C9762A" w:rsidP="00C9762A">
      <w:pPr>
        <w:pStyle w:val="Akapitzlist"/>
        <w:numPr>
          <w:ilvl w:val="0"/>
          <w:numId w:val="60"/>
        </w:numPr>
        <w:spacing w:after="160" w:line="360" w:lineRule="auto"/>
        <w:jc w:val="both"/>
        <w:rPr>
          <w:rFonts w:cs="Arial"/>
          <w:szCs w:val="24"/>
        </w:rPr>
      </w:pPr>
      <w:r w:rsidRPr="00766EC7">
        <w:rPr>
          <w:rFonts w:cs="Arial"/>
          <w:szCs w:val="24"/>
        </w:rPr>
        <w:lastRenderedPageBreak/>
        <w:t>Punkt Nieodpłatnej Pomocy Prawnej Lokal biurowy (Wola), ul. Poprzeczna 1</w:t>
      </w:r>
      <w:r>
        <w:rPr>
          <w:rFonts w:cs="Arial"/>
          <w:szCs w:val="24"/>
        </w:rPr>
        <w:t>, Poniedziałek od 13.00 do 17.00, Wtorek od 11.00 do 15.00, Czwartek od 8.00 do 12.00.</w:t>
      </w:r>
    </w:p>
    <w:p w14:paraId="0EFFB666" w14:textId="77777777" w:rsidR="00C9762A" w:rsidRDefault="00C9762A" w:rsidP="00C9762A">
      <w:pPr>
        <w:pStyle w:val="Akapitzlist"/>
        <w:numPr>
          <w:ilvl w:val="0"/>
          <w:numId w:val="60"/>
        </w:numPr>
        <w:spacing w:after="160" w:line="360" w:lineRule="auto"/>
        <w:jc w:val="both"/>
        <w:rPr>
          <w:rFonts w:cs="Arial"/>
          <w:szCs w:val="24"/>
        </w:rPr>
      </w:pPr>
      <w:r w:rsidRPr="0098245F">
        <w:rPr>
          <w:rFonts w:cs="Arial"/>
          <w:szCs w:val="24"/>
        </w:rPr>
        <w:t>Punkt Nieodpłatnego Poradnictwa Obywatelskiego Lokal biurowy (Kobiór), ul. Centralna 57 (były Hotel Robotniczy, wejście od strony stawu, parter)</w:t>
      </w:r>
      <w:r>
        <w:rPr>
          <w:rFonts w:cs="Arial"/>
          <w:szCs w:val="24"/>
        </w:rPr>
        <w:t>, Poniedziałek i piątek od 16.00 do 20.00</w:t>
      </w:r>
    </w:p>
    <w:p w14:paraId="030532F6" w14:textId="77777777" w:rsidR="00C9762A" w:rsidRDefault="00C9762A" w:rsidP="00C9762A">
      <w:pPr>
        <w:pStyle w:val="Akapitzlist"/>
        <w:numPr>
          <w:ilvl w:val="0"/>
          <w:numId w:val="60"/>
        </w:numPr>
        <w:spacing w:after="160" w:line="360" w:lineRule="auto"/>
        <w:jc w:val="both"/>
        <w:rPr>
          <w:rFonts w:cs="Arial"/>
          <w:szCs w:val="24"/>
        </w:rPr>
      </w:pPr>
      <w:r w:rsidRPr="0098245F">
        <w:rPr>
          <w:rFonts w:cs="Arial"/>
          <w:szCs w:val="24"/>
        </w:rPr>
        <w:t>Punkt Nieodpłatnego Poradnictwa Obywatelskiego Gminny Ośrodek Kultury w Suszcu, ul. Ogrodowa 22</w:t>
      </w:r>
      <w:r>
        <w:rPr>
          <w:rFonts w:cs="Arial"/>
          <w:szCs w:val="24"/>
        </w:rPr>
        <w:t>, Wtorek od 7.30 do 11.30, Środa od 14.00 do 18.00, Czwartek od 10.00 do 14.00</w:t>
      </w:r>
    </w:p>
    <w:p w14:paraId="7980BAEA" w14:textId="77777777" w:rsidR="00C9762A" w:rsidRPr="00BB38B8" w:rsidRDefault="00C9762A" w:rsidP="00C9762A">
      <w:pPr>
        <w:pStyle w:val="Nagwek2"/>
        <w:rPr>
          <w:color w:val="1F3864" w:themeColor="accent1" w:themeShade="80"/>
        </w:rPr>
      </w:pPr>
      <w:r w:rsidRPr="00BB38B8">
        <w:rPr>
          <w:color w:val="1F3864" w:themeColor="accent1" w:themeShade="80"/>
        </w:rPr>
        <w:t>Inne punkty nieodpłatnej pomocy prawnej</w:t>
      </w:r>
    </w:p>
    <w:p w14:paraId="5A8FA203" w14:textId="77777777" w:rsidR="00C9762A" w:rsidRDefault="00C9762A" w:rsidP="00C9762A">
      <w:pPr>
        <w:pStyle w:val="Akapitzlist"/>
        <w:numPr>
          <w:ilvl w:val="0"/>
          <w:numId w:val="61"/>
        </w:numPr>
        <w:spacing w:after="160" w:line="360" w:lineRule="auto"/>
      </w:pPr>
      <w:r w:rsidRPr="00F252E8">
        <w:t>Lokal biurowy przy ul. 3 Maja 15, 43-200 Pszczyna</w:t>
      </w:r>
      <w:r>
        <w:t>, Poniedziałek od 12.00 do 16.00, Wtorek, czwartek, piątek od 8.00 do 12.00, Środa od 14.00 do 18.00</w:t>
      </w:r>
    </w:p>
    <w:p w14:paraId="5347395C" w14:textId="77777777" w:rsidR="00C9762A" w:rsidRPr="00E96537" w:rsidRDefault="00C9762A" w:rsidP="00C9762A">
      <w:pPr>
        <w:pStyle w:val="Akapitzlist"/>
        <w:numPr>
          <w:ilvl w:val="0"/>
          <w:numId w:val="61"/>
        </w:numPr>
        <w:spacing w:after="160" w:line="360" w:lineRule="auto"/>
      </w:pPr>
      <w:r>
        <w:t>Lokal biurowy nr 201 w Domu Kultury w Pawłowicach na Osiedlu przy ul. Wojska Polskiego 11 43-250 Pawłowice (GOK), Poniedziałek, środa, czwartek od 9.00 do 13.00, Wtorek, piątek od 15.00 do 19.00.</w:t>
      </w:r>
    </w:p>
    <w:p w14:paraId="6E706A51" w14:textId="77777777" w:rsidR="00C9762A" w:rsidRPr="00D274C3" w:rsidRDefault="00C9762A" w:rsidP="00C9762A">
      <w:pPr>
        <w:spacing w:line="360" w:lineRule="auto"/>
        <w:jc w:val="both"/>
        <w:rPr>
          <w:rFonts w:cs="Arial"/>
          <w:szCs w:val="24"/>
        </w:rPr>
      </w:pPr>
      <w:r w:rsidRPr="00D274C3">
        <w:rPr>
          <w:rFonts w:cs="Arial"/>
          <w:szCs w:val="24"/>
        </w:rPr>
        <w:t>Zadanie publiczne finansowane ze środków otrzymanych z Powiatu Pszczyńskiego.</w:t>
      </w:r>
    </w:p>
    <w:p w14:paraId="69AB94D8" w14:textId="77777777" w:rsidR="00C9762A" w:rsidRPr="00D05C67" w:rsidRDefault="00C9762A" w:rsidP="00C9762A">
      <w:pPr>
        <w:spacing w:line="360" w:lineRule="auto"/>
        <w:jc w:val="both"/>
        <w:rPr>
          <w:rFonts w:cs="Arial"/>
          <w:szCs w:val="24"/>
        </w:rPr>
      </w:pPr>
      <w:r>
        <w:rPr>
          <w:noProof/>
        </w:rPr>
        <w:drawing>
          <wp:inline distT="0" distB="0" distL="0" distR="0" wp14:anchorId="767A0033" wp14:editId="28D2573D">
            <wp:extent cx="3797156" cy="790575"/>
            <wp:effectExtent l="0" t="0" r="0" b="0"/>
            <wp:docPr id="3" name="Grafika 3" descr="Logotypy Powiatu Pszczyńskiego, Ministerstwa Sprawiedliwości i Stowarzyszenia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 3" descr="Logotypy Powiatu Pszczyńskiego, Ministerstwa Sprawiedliwości i Stowarzyszenia DOGMA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431" cy="792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F6B77" w14:textId="77777777" w:rsidR="00C9762A" w:rsidRPr="00C9762A" w:rsidRDefault="00C9762A" w:rsidP="00C9762A">
      <w:pPr>
        <w:spacing w:before="240" w:line="360" w:lineRule="auto"/>
        <w:rPr>
          <w:b/>
          <w:bCs/>
        </w:rPr>
      </w:pPr>
    </w:p>
    <w:sectPr w:rsidR="00C9762A" w:rsidRPr="00C9762A" w:rsidSect="00042104">
      <w:footerReference w:type="default" r:id="rId10"/>
      <w:pgSz w:w="8391" w:h="11906" w:code="11"/>
      <w:pgMar w:top="851" w:right="851" w:bottom="851" w:left="1021" w:header="709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7651" w14:textId="77777777" w:rsidR="00B470B4" w:rsidRDefault="00B470B4" w:rsidP="007A0804">
      <w:pPr>
        <w:spacing w:after="0" w:line="240" w:lineRule="auto"/>
      </w:pPr>
      <w:r>
        <w:separator/>
      </w:r>
    </w:p>
  </w:endnote>
  <w:endnote w:type="continuationSeparator" w:id="0">
    <w:p w14:paraId="4DEFD0A8" w14:textId="77777777" w:rsidR="00B470B4" w:rsidRDefault="00B470B4" w:rsidP="007A08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294269"/>
      <w:docPartObj>
        <w:docPartGallery w:val="Page Numbers (Bottom of Page)"/>
        <w:docPartUnique/>
      </w:docPartObj>
    </w:sdtPr>
    <w:sdtContent>
      <w:p w14:paraId="39CBFEB5" w14:textId="6ED3C084" w:rsidR="006E023B" w:rsidRDefault="006E02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95236F" w14:textId="77777777" w:rsidR="006E023B" w:rsidRDefault="006E0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78C3" w14:textId="77777777" w:rsidR="00B470B4" w:rsidRDefault="00B470B4" w:rsidP="007A0804">
      <w:pPr>
        <w:spacing w:after="0" w:line="240" w:lineRule="auto"/>
      </w:pPr>
      <w:r>
        <w:separator/>
      </w:r>
    </w:p>
  </w:footnote>
  <w:footnote w:type="continuationSeparator" w:id="0">
    <w:p w14:paraId="35EDF6D9" w14:textId="77777777" w:rsidR="00B470B4" w:rsidRDefault="00B470B4" w:rsidP="007A08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C5F"/>
    <w:multiLevelType w:val="hybridMultilevel"/>
    <w:tmpl w:val="8C6A3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C5C"/>
    <w:multiLevelType w:val="hybridMultilevel"/>
    <w:tmpl w:val="8BD6F2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64556"/>
    <w:multiLevelType w:val="hybridMultilevel"/>
    <w:tmpl w:val="94AC28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456F"/>
    <w:multiLevelType w:val="hybridMultilevel"/>
    <w:tmpl w:val="EB6ABE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C7B50"/>
    <w:multiLevelType w:val="hybridMultilevel"/>
    <w:tmpl w:val="49023F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37073"/>
    <w:multiLevelType w:val="hybridMultilevel"/>
    <w:tmpl w:val="80A6B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9F433A"/>
    <w:multiLevelType w:val="hybridMultilevel"/>
    <w:tmpl w:val="7FAC7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E1992"/>
    <w:multiLevelType w:val="hybridMultilevel"/>
    <w:tmpl w:val="600C3230"/>
    <w:lvl w:ilvl="0" w:tplc="D55A77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CC74F1A0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DE5A6C"/>
    <w:multiLevelType w:val="hybridMultilevel"/>
    <w:tmpl w:val="E660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587A"/>
    <w:multiLevelType w:val="hybridMultilevel"/>
    <w:tmpl w:val="CB366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A1890"/>
    <w:multiLevelType w:val="hybridMultilevel"/>
    <w:tmpl w:val="80605C62"/>
    <w:lvl w:ilvl="0" w:tplc="C0F63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F27B3"/>
    <w:multiLevelType w:val="hybridMultilevel"/>
    <w:tmpl w:val="9614FB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C53BF"/>
    <w:multiLevelType w:val="hybridMultilevel"/>
    <w:tmpl w:val="1F348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75E4E"/>
    <w:multiLevelType w:val="hybridMultilevel"/>
    <w:tmpl w:val="E660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A5922"/>
    <w:multiLevelType w:val="hybridMultilevel"/>
    <w:tmpl w:val="3E86F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D1187"/>
    <w:multiLevelType w:val="hybridMultilevel"/>
    <w:tmpl w:val="E660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32CC9"/>
    <w:multiLevelType w:val="hybridMultilevel"/>
    <w:tmpl w:val="A8DEEFD4"/>
    <w:lvl w:ilvl="0" w:tplc="D7A0C39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A81029"/>
    <w:multiLevelType w:val="hybridMultilevel"/>
    <w:tmpl w:val="5F1C2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D56E1"/>
    <w:multiLevelType w:val="hybridMultilevel"/>
    <w:tmpl w:val="6BC4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F769A5"/>
    <w:multiLevelType w:val="hybridMultilevel"/>
    <w:tmpl w:val="E660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3823CB"/>
    <w:multiLevelType w:val="hybridMultilevel"/>
    <w:tmpl w:val="94B677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3D5725"/>
    <w:multiLevelType w:val="hybridMultilevel"/>
    <w:tmpl w:val="F93AE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53549"/>
    <w:multiLevelType w:val="hybridMultilevel"/>
    <w:tmpl w:val="E55EE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AC6B1C"/>
    <w:multiLevelType w:val="hybridMultilevel"/>
    <w:tmpl w:val="AF668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797423"/>
    <w:multiLevelType w:val="hybridMultilevel"/>
    <w:tmpl w:val="4CFA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5051C"/>
    <w:multiLevelType w:val="hybridMultilevel"/>
    <w:tmpl w:val="0BBA1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E72FD5"/>
    <w:multiLevelType w:val="hybridMultilevel"/>
    <w:tmpl w:val="E660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D140EE"/>
    <w:multiLevelType w:val="hybridMultilevel"/>
    <w:tmpl w:val="3486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60CFA"/>
    <w:multiLevelType w:val="hybridMultilevel"/>
    <w:tmpl w:val="03F07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2782F"/>
    <w:multiLevelType w:val="hybridMultilevel"/>
    <w:tmpl w:val="CBBA3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8E30EA"/>
    <w:multiLevelType w:val="hybridMultilevel"/>
    <w:tmpl w:val="80141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D82D26"/>
    <w:multiLevelType w:val="hybridMultilevel"/>
    <w:tmpl w:val="E1785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D6F5E"/>
    <w:multiLevelType w:val="hybridMultilevel"/>
    <w:tmpl w:val="E660A208"/>
    <w:lvl w:ilvl="0" w:tplc="45BA3C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E22FA8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51097E"/>
    <w:multiLevelType w:val="hybridMultilevel"/>
    <w:tmpl w:val="8C6A3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591FAB"/>
    <w:multiLevelType w:val="hybridMultilevel"/>
    <w:tmpl w:val="17E29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C30ACB"/>
    <w:multiLevelType w:val="hybridMultilevel"/>
    <w:tmpl w:val="75F2518A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166F7"/>
    <w:multiLevelType w:val="hybridMultilevel"/>
    <w:tmpl w:val="CEC032B6"/>
    <w:lvl w:ilvl="0" w:tplc="A754CDB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E2212"/>
    <w:multiLevelType w:val="hybridMultilevel"/>
    <w:tmpl w:val="684CC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8806AD"/>
    <w:multiLevelType w:val="multilevel"/>
    <w:tmpl w:val="9C4CA2D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70B5EFF"/>
    <w:multiLevelType w:val="hybridMultilevel"/>
    <w:tmpl w:val="69A2D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0C233C"/>
    <w:multiLevelType w:val="hybridMultilevel"/>
    <w:tmpl w:val="29723F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41125"/>
    <w:multiLevelType w:val="hybridMultilevel"/>
    <w:tmpl w:val="CCA0D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196E0E"/>
    <w:multiLevelType w:val="hybridMultilevel"/>
    <w:tmpl w:val="4AD42D22"/>
    <w:lvl w:ilvl="0" w:tplc="C8C267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02C55"/>
    <w:multiLevelType w:val="hybridMultilevel"/>
    <w:tmpl w:val="FD149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B35769"/>
    <w:multiLevelType w:val="hybridMultilevel"/>
    <w:tmpl w:val="E7C625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F6C82"/>
    <w:multiLevelType w:val="hybridMultilevel"/>
    <w:tmpl w:val="F6A8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067265"/>
    <w:multiLevelType w:val="hybridMultilevel"/>
    <w:tmpl w:val="D4FAF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19618F"/>
    <w:multiLevelType w:val="hybridMultilevel"/>
    <w:tmpl w:val="0C4C1358"/>
    <w:lvl w:ilvl="0" w:tplc="D7A0C39C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3B232A6"/>
    <w:multiLevelType w:val="hybridMultilevel"/>
    <w:tmpl w:val="20969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41C39EB"/>
    <w:multiLevelType w:val="hybridMultilevel"/>
    <w:tmpl w:val="42BE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472048C"/>
    <w:multiLevelType w:val="hybridMultilevel"/>
    <w:tmpl w:val="06A2F670"/>
    <w:lvl w:ilvl="0" w:tplc="703ADA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EE2181"/>
    <w:multiLevelType w:val="hybridMultilevel"/>
    <w:tmpl w:val="16DAF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85AD2"/>
    <w:multiLevelType w:val="hybridMultilevel"/>
    <w:tmpl w:val="E03AA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2B0792"/>
    <w:multiLevelType w:val="hybridMultilevel"/>
    <w:tmpl w:val="8C6A3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242083"/>
    <w:multiLevelType w:val="hybridMultilevel"/>
    <w:tmpl w:val="E660A2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E508AB"/>
    <w:multiLevelType w:val="hybridMultilevel"/>
    <w:tmpl w:val="E998EAD2"/>
    <w:lvl w:ilvl="0" w:tplc="0B122E1A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531704"/>
    <w:multiLevelType w:val="hybridMultilevel"/>
    <w:tmpl w:val="B4BC09AE"/>
    <w:lvl w:ilvl="0" w:tplc="C818E3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7030A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C9A04A1"/>
    <w:multiLevelType w:val="hybridMultilevel"/>
    <w:tmpl w:val="6F28A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254D8F"/>
    <w:multiLevelType w:val="hybridMultilevel"/>
    <w:tmpl w:val="8C6A3B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D6311FC"/>
    <w:multiLevelType w:val="hybridMultilevel"/>
    <w:tmpl w:val="4042B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D27E44"/>
    <w:multiLevelType w:val="hybridMultilevel"/>
    <w:tmpl w:val="91D2BB3C"/>
    <w:lvl w:ilvl="0" w:tplc="6AE2BB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color w:val="7030A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9548084">
    <w:abstractNumId w:val="42"/>
  </w:num>
  <w:num w:numId="2" w16cid:durableId="522283680">
    <w:abstractNumId w:val="50"/>
  </w:num>
  <w:num w:numId="3" w16cid:durableId="1659773007">
    <w:abstractNumId w:val="56"/>
  </w:num>
  <w:num w:numId="4" w16cid:durableId="1787188172">
    <w:abstractNumId w:val="49"/>
  </w:num>
  <w:num w:numId="5" w16cid:durableId="1068921116">
    <w:abstractNumId w:val="1"/>
  </w:num>
  <w:num w:numId="6" w16cid:durableId="2058553223">
    <w:abstractNumId w:val="51"/>
  </w:num>
  <w:num w:numId="7" w16cid:durableId="924999068">
    <w:abstractNumId w:val="55"/>
  </w:num>
  <w:num w:numId="8" w16cid:durableId="1854875383">
    <w:abstractNumId w:val="7"/>
  </w:num>
  <w:num w:numId="9" w16cid:durableId="1412118760">
    <w:abstractNumId w:val="10"/>
  </w:num>
  <w:num w:numId="10" w16cid:durableId="1739789329">
    <w:abstractNumId w:val="60"/>
  </w:num>
  <w:num w:numId="11" w16cid:durableId="362942360">
    <w:abstractNumId w:val="45"/>
  </w:num>
  <w:num w:numId="12" w16cid:durableId="988283667">
    <w:abstractNumId w:val="12"/>
  </w:num>
  <w:num w:numId="13" w16cid:durableId="883373284">
    <w:abstractNumId w:val="23"/>
  </w:num>
  <w:num w:numId="14" w16cid:durableId="1081099765">
    <w:abstractNumId w:val="59"/>
  </w:num>
  <w:num w:numId="15" w16cid:durableId="1748336424">
    <w:abstractNumId w:val="16"/>
  </w:num>
  <w:num w:numId="16" w16cid:durableId="668025702">
    <w:abstractNumId w:val="47"/>
  </w:num>
  <w:num w:numId="17" w16cid:durableId="1091002561">
    <w:abstractNumId w:val="3"/>
  </w:num>
  <w:num w:numId="18" w16cid:durableId="1826780211">
    <w:abstractNumId w:val="9"/>
  </w:num>
  <w:num w:numId="19" w16cid:durableId="98262426">
    <w:abstractNumId w:val="32"/>
  </w:num>
  <w:num w:numId="20" w16cid:durableId="524711105">
    <w:abstractNumId w:val="37"/>
  </w:num>
  <w:num w:numId="21" w16cid:durableId="2047948925">
    <w:abstractNumId w:val="28"/>
  </w:num>
  <w:num w:numId="22" w16cid:durableId="1861578263">
    <w:abstractNumId w:val="29"/>
  </w:num>
  <w:num w:numId="23" w16cid:durableId="372509208">
    <w:abstractNumId w:val="34"/>
  </w:num>
  <w:num w:numId="24" w16cid:durableId="1502696947">
    <w:abstractNumId w:val="0"/>
  </w:num>
  <w:num w:numId="25" w16cid:durableId="1870532248">
    <w:abstractNumId w:val="5"/>
  </w:num>
  <w:num w:numId="26" w16cid:durableId="170603562">
    <w:abstractNumId w:val="53"/>
  </w:num>
  <w:num w:numId="27" w16cid:durableId="1771509144">
    <w:abstractNumId w:val="17"/>
  </w:num>
  <w:num w:numId="28" w16cid:durableId="154032129">
    <w:abstractNumId w:val="41"/>
  </w:num>
  <w:num w:numId="29" w16cid:durableId="1775781191">
    <w:abstractNumId w:val="33"/>
  </w:num>
  <w:num w:numId="30" w16cid:durableId="1612467043">
    <w:abstractNumId w:val="30"/>
  </w:num>
  <w:num w:numId="31" w16cid:durableId="839270268">
    <w:abstractNumId w:val="27"/>
  </w:num>
  <w:num w:numId="32" w16cid:durableId="818300687">
    <w:abstractNumId w:val="58"/>
  </w:num>
  <w:num w:numId="33" w16cid:durableId="1506359676">
    <w:abstractNumId w:val="4"/>
  </w:num>
  <w:num w:numId="34" w16cid:durableId="165556639">
    <w:abstractNumId w:val="43"/>
  </w:num>
  <w:num w:numId="35" w16cid:durableId="176383232">
    <w:abstractNumId w:val="46"/>
  </w:num>
  <w:num w:numId="36" w16cid:durableId="1901011707">
    <w:abstractNumId w:val="11"/>
  </w:num>
  <w:num w:numId="37" w16cid:durableId="433746510">
    <w:abstractNumId w:val="39"/>
  </w:num>
  <w:num w:numId="38" w16cid:durableId="618337164">
    <w:abstractNumId w:val="6"/>
  </w:num>
  <w:num w:numId="39" w16cid:durableId="159277405">
    <w:abstractNumId w:val="15"/>
  </w:num>
  <w:num w:numId="40" w16cid:durableId="490561880">
    <w:abstractNumId w:val="14"/>
  </w:num>
  <w:num w:numId="41" w16cid:durableId="1770546048">
    <w:abstractNumId w:val="44"/>
  </w:num>
  <w:num w:numId="42" w16cid:durableId="1699424248">
    <w:abstractNumId w:val="38"/>
  </w:num>
  <w:num w:numId="43" w16cid:durableId="571307287">
    <w:abstractNumId w:val="22"/>
  </w:num>
  <w:num w:numId="44" w16cid:durableId="2123723389">
    <w:abstractNumId w:val="48"/>
  </w:num>
  <w:num w:numId="45" w16cid:durableId="848908379">
    <w:abstractNumId w:val="40"/>
  </w:num>
  <w:num w:numId="46" w16cid:durableId="562102896">
    <w:abstractNumId w:val="24"/>
  </w:num>
  <w:num w:numId="47" w16cid:durableId="1951860774">
    <w:abstractNumId w:val="31"/>
  </w:num>
  <w:num w:numId="48" w16cid:durableId="1200629059">
    <w:abstractNumId w:val="21"/>
  </w:num>
  <w:num w:numId="49" w16cid:durableId="1011369489">
    <w:abstractNumId w:val="25"/>
  </w:num>
  <w:num w:numId="50" w16cid:durableId="1656761059">
    <w:abstractNumId w:val="52"/>
  </w:num>
  <w:num w:numId="51" w16cid:durableId="438598588">
    <w:abstractNumId w:val="19"/>
  </w:num>
  <w:num w:numId="52" w16cid:durableId="426778300">
    <w:abstractNumId w:val="13"/>
  </w:num>
  <w:num w:numId="53" w16cid:durableId="519009444">
    <w:abstractNumId w:val="8"/>
  </w:num>
  <w:num w:numId="54" w16cid:durableId="5833649">
    <w:abstractNumId w:val="54"/>
  </w:num>
  <w:num w:numId="55" w16cid:durableId="69161061">
    <w:abstractNumId w:val="2"/>
  </w:num>
  <w:num w:numId="56" w16cid:durableId="1103644710">
    <w:abstractNumId w:val="26"/>
  </w:num>
  <w:num w:numId="57" w16cid:durableId="1201866936">
    <w:abstractNumId w:val="20"/>
  </w:num>
  <w:num w:numId="58" w16cid:durableId="154148756">
    <w:abstractNumId w:val="18"/>
  </w:num>
  <w:num w:numId="59" w16cid:durableId="580220164">
    <w:abstractNumId w:val="57"/>
  </w:num>
  <w:num w:numId="60" w16cid:durableId="1024212174">
    <w:abstractNumId w:val="35"/>
  </w:num>
  <w:num w:numId="61" w16cid:durableId="154687378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C00"/>
    <w:rsid w:val="000016EA"/>
    <w:rsid w:val="000045DD"/>
    <w:rsid w:val="00007B69"/>
    <w:rsid w:val="00010EA9"/>
    <w:rsid w:val="0002132B"/>
    <w:rsid w:val="00042104"/>
    <w:rsid w:val="00043B4E"/>
    <w:rsid w:val="00045068"/>
    <w:rsid w:val="00074F91"/>
    <w:rsid w:val="000763D9"/>
    <w:rsid w:val="00077292"/>
    <w:rsid w:val="00086FF4"/>
    <w:rsid w:val="0009680F"/>
    <w:rsid w:val="000A4691"/>
    <w:rsid w:val="000B0678"/>
    <w:rsid w:val="000C0CC3"/>
    <w:rsid w:val="000E5D2F"/>
    <w:rsid w:val="000E6296"/>
    <w:rsid w:val="000F1CF9"/>
    <w:rsid w:val="000F3553"/>
    <w:rsid w:val="000F5252"/>
    <w:rsid w:val="00100795"/>
    <w:rsid w:val="00103F32"/>
    <w:rsid w:val="001332B7"/>
    <w:rsid w:val="00133D34"/>
    <w:rsid w:val="00144700"/>
    <w:rsid w:val="001450F7"/>
    <w:rsid w:val="00147B59"/>
    <w:rsid w:val="001659E9"/>
    <w:rsid w:val="0018662A"/>
    <w:rsid w:val="0018699E"/>
    <w:rsid w:val="0019004E"/>
    <w:rsid w:val="0019579D"/>
    <w:rsid w:val="00196031"/>
    <w:rsid w:val="001B0132"/>
    <w:rsid w:val="001B68ED"/>
    <w:rsid w:val="001B6F47"/>
    <w:rsid w:val="001C3177"/>
    <w:rsid w:val="001C31E5"/>
    <w:rsid w:val="001D2170"/>
    <w:rsid w:val="001D24AB"/>
    <w:rsid w:val="001D774D"/>
    <w:rsid w:val="001E2C55"/>
    <w:rsid w:val="001E395D"/>
    <w:rsid w:val="00222A3C"/>
    <w:rsid w:val="0022308C"/>
    <w:rsid w:val="00251202"/>
    <w:rsid w:val="00263696"/>
    <w:rsid w:val="00266831"/>
    <w:rsid w:val="0027286F"/>
    <w:rsid w:val="00275F83"/>
    <w:rsid w:val="00296D5F"/>
    <w:rsid w:val="002A22D1"/>
    <w:rsid w:val="002B1D5C"/>
    <w:rsid w:val="002D7F9A"/>
    <w:rsid w:val="0031293F"/>
    <w:rsid w:val="003242E6"/>
    <w:rsid w:val="003706BA"/>
    <w:rsid w:val="00370B89"/>
    <w:rsid w:val="003A2A77"/>
    <w:rsid w:val="003A69E8"/>
    <w:rsid w:val="003B2539"/>
    <w:rsid w:val="003B7542"/>
    <w:rsid w:val="003C0DC9"/>
    <w:rsid w:val="003C203A"/>
    <w:rsid w:val="003D43BF"/>
    <w:rsid w:val="003D7C7D"/>
    <w:rsid w:val="00432D35"/>
    <w:rsid w:val="00434E93"/>
    <w:rsid w:val="00496E4C"/>
    <w:rsid w:val="004A49BC"/>
    <w:rsid w:val="004F6AF3"/>
    <w:rsid w:val="00506CBD"/>
    <w:rsid w:val="00517585"/>
    <w:rsid w:val="00521A4F"/>
    <w:rsid w:val="00521B64"/>
    <w:rsid w:val="005226E7"/>
    <w:rsid w:val="0054083F"/>
    <w:rsid w:val="0054732C"/>
    <w:rsid w:val="00553855"/>
    <w:rsid w:val="00556C2F"/>
    <w:rsid w:val="00581E1C"/>
    <w:rsid w:val="00595CC4"/>
    <w:rsid w:val="00596466"/>
    <w:rsid w:val="005A7D3C"/>
    <w:rsid w:val="005C3122"/>
    <w:rsid w:val="005D3095"/>
    <w:rsid w:val="005D40E6"/>
    <w:rsid w:val="005E1847"/>
    <w:rsid w:val="005F4EF5"/>
    <w:rsid w:val="00620853"/>
    <w:rsid w:val="0063268A"/>
    <w:rsid w:val="0063473C"/>
    <w:rsid w:val="00637619"/>
    <w:rsid w:val="00645580"/>
    <w:rsid w:val="0064561D"/>
    <w:rsid w:val="006503A6"/>
    <w:rsid w:val="00653FDE"/>
    <w:rsid w:val="00654411"/>
    <w:rsid w:val="00654D3A"/>
    <w:rsid w:val="00665C28"/>
    <w:rsid w:val="006741AC"/>
    <w:rsid w:val="0069159A"/>
    <w:rsid w:val="006A299E"/>
    <w:rsid w:val="006B18DC"/>
    <w:rsid w:val="006C0487"/>
    <w:rsid w:val="006C1CF2"/>
    <w:rsid w:val="006C31F0"/>
    <w:rsid w:val="006D105A"/>
    <w:rsid w:val="006E023B"/>
    <w:rsid w:val="006E63D8"/>
    <w:rsid w:val="006E6C9F"/>
    <w:rsid w:val="006E76DB"/>
    <w:rsid w:val="006F46C4"/>
    <w:rsid w:val="006F61A8"/>
    <w:rsid w:val="00730E46"/>
    <w:rsid w:val="00736736"/>
    <w:rsid w:val="00750833"/>
    <w:rsid w:val="007552D9"/>
    <w:rsid w:val="007633BD"/>
    <w:rsid w:val="007729FE"/>
    <w:rsid w:val="007762AF"/>
    <w:rsid w:val="00782B87"/>
    <w:rsid w:val="00790C2D"/>
    <w:rsid w:val="007A0804"/>
    <w:rsid w:val="007B07A0"/>
    <w:rsid w:val="007F36EE"/>
    <w:rsid w:val="00813234"/>
    <w:rsid w:val="00814B05"/>
    <w:rsid w:val="008318DA"/>
    <w:rsid w:val="00833330"/>
    <w:rsid w:val="008429FD"/>
    <w:rsid w:val="00846BB0"/>
    <w:rsid w:val="00850DC3"/>
    <w:rsid w:val="0085161C"/>
    <w:rsid w:val="00860D08"/>
    <w:rsid w:val="0086244F"/>
    <w:rsid w:val="00864CF3"/>
    <w:rsid w:val="00876697"/>
    <w:rsid w:val="00887895"/>
    <w:rsid w:val="0089164B"/>
    <w:rsid w:val="00892DDB"/>
    <w:rsid w:val="008A320C"/>
    <w:rsid w:val="008B73A8"/>
    <w:rsid w:val="008C1D4B"/>
    <w:rsid w:val="008C2F0A"/>
    <w:rsid w:val="008D26D4"/>
    <w:rsid w:val="00902800"/>
    <w:rsid w:val="00903A09"/>
    <w:rsid w:val="009053EB"/>
    <w:rsid w:val="00906A8D"/>
    <w:rsid w:val="009071A3"/>
    <w:rsid w:val="009155D0"/>
    <w:rsid w:val="00917002"/>
    <w:rsid w:val="009374C1"/>
    <w:rsid w:val="009676BC"/>
    <w:rsid w:val="00967C5E"/>
    <w:rsid w:val="00980863"/>
    <w:rsid w:val="00980C6B"/>
    <w:rsid w:val="00981E26"/>
    <w:rsid w:val="00985588"/>
    <w:rsid w:val="009C7924"/>
    <w:rsid w:val="009E7F62"/>
    <w:rsid w:val="009F1A4C"/>
    <w:rsid w:val="009F200F"/>
    <w:rsid w:val="009F2507"/>
    <w:rsid w:val="00A04305"/>
    <w:rsid w:val="00A050DA"/>
    <w:rsid w:val="00A24ECA"/>
    <w:rsid w:val="00A339D3"/>
    <w:rsid w:val="00A3754C"/>
    <w:rsid w:val="00A37651"/>
    <w:rsid w:val="00A506F3"/>
    <w:rsid w:val="00A54502"/>
    <w:rsid w:val="00A61530"/>
    <w:rsid w:val="00A6295A"/>
    <w:rsid w:val="00A62BA4"/>
    <w:rsid w:val="00A72F00"/>
    <w:rsid w:val="00A84BD3"/>
    <w:rsid w:val="00A90D77"/>
    <w:rsid w:val="00A91B75"/>
    <w:rsid w:val="00A94EC8"/>
    <w:rsid w:val="00AA7118"/>
    <w:rsid w:val="00AA78B9"/>
    <w:rsid w:val="00AD0F1E"/>
    <w:rsid w:val="00AD44A9"/>
    <w:rsid w:val="00AE064D"/>
    <w:rsid w:val="00AE122E"/>
    <w:rsid w:val="00AF7DD9"/>
    <w:rsid w:val="00B2126A"/>
    <w:rsid w:val="00B32BE1"/>
    <w:rsid w:val="00B470B4"/>
    <w:rsid w:val="00B60051"/>
    <w:rsid w:val="00B6032D"/>
    <w:rsid w:val="00B64BD1"/>
    <w:rsid w:val="00B655C9"/>
    <w:rsid w:val="00B70024"/>
    <w:rsid w:val="00B73BEB"/>
    <w:rsid w:val="00B76E19"/>
    <w:rsid w:val="00BB38B8"/>
    <w:rsid w:val="00BC501F"/>
    <w:rsid w:val="00BE1B64"/>
    <w:rsid w:val="00BE3306"/>
    <w:rsid w:val="00BF0A31"/>
    <w:rsid w:val="00BF56D1"/>
    <w:rsid w:val="00BF7794"/>
    <w:rsid w:val="00C13AEC"/>
    <w:rsid w:val="00C331CD"/>
    <w:rsid w:val="00C66E0A"/>
    <w:rsid w:val="00C94851"/>
    <w:rsid w:val="00C9762A"/>
    <w:rsid w:val="00CA4F4E"/>
    <w:rsid w:val="00CB2D55"/>
    <w:rsid w:val="00CB6EBE"/>
    <w:rsid w:val="00CD545B"/>
    <w:rsid w:val="00CE02C2"/>
    <w:rsid w:val="00CE7F30"/>
    <w:rsid w:val="00CF3268"/>
    <w:rsid w:val="00D01A6A"/>
    <w:rsid w:val="00D0748D"/>
    <w:rsid w:val="00D11680"/>
    <w:rsid w:val="00D21736"/>
    <w:rsid w:val="00D308F5"/>
    <w:rsid w:val="00D40F4B"/>
    <w:rsid w:val="00D4377D"/>
    <w:rsid w:val="00D639C9"/>
    <w:rsid w:val="00D72FF6"/>
    <w:rsid w:val="00D754D1"/>
    <w:rsid w:val="00D779B5"/>
    <w:rsid w:val="00D949BF"/>
    <w:rsid w:val="00DA0838"/>
    <w:rsid w:val="00DB2978"/>
    <w:rsid w:val="00DC0130"/>
    <w:rsid w:val="00DD0661"/>
    <w:rsid w:val="00DD4D00"/>
    <w:rsid w:val="00DE29F9"/>
    <w:rsid w:val="00DE2D33"/>
    <w:rsid w:val="00DE570C"/>
    <w:rsid w:val="00DE6587"/>
    <w:rsid w:val="00DF2316"/>
    <w:rsid w:val="00E00295"/>
    <w:rsid w:val="00E00D44"/>
    <w:rsid w:val="00E01FDF"/>
    <w:rsid w:val="00E05B55"/>
    <w:rsid w:val="00E17324"/>
    <w:rsid w:val="00E47DC9"/>
    <w:rsid w:val="00E52873"/>
    <w:rsid w:val="00E533C0"/>
    <w:rsid w:val="00E675C8"/>
    <w:rsid w:val="00E74C00"/>
    <w:rsid w:val="00E75358"/>
    <w:rsid w:val="00E761F2"/>
    <w:rsid w:val="00E77122"/>
    <w:rsid w:val="00E93D00"/>
    <w:rsid w:val="00E953C1"/>
    <w:rsid w:val="00EA4AAF"/>
    <w:rsid w:val="00EB4A1E"/>
    <w:rsid w:val="00EB5699"/>
    <w:rsid w:val="00EB5DE3"/>
    <w:rsid w:val="00EC6D10"/>
    <w:rsid w:val="00ED1AF8"/>
    <w:rsid w:val="00ED3F98"/>
    <w:rsid w:val="00ED413B"/>
    <w:rsid w:val="00ED5B65"/>
    <w:rsid w:val="00ED609B"/>
    <w:rsid w:val="00EE20C5"/>
    <w:rsid w:val="00EE49AF"/>
    <w:rsid w:val="00F03FAF"/>
    <w:rsid w:val="00F06F3A"/>
    <w:rsid w:val="00F14068"/>
    <w:rsid w:val="00F506BC"/>
    <w:rsid w:val="00F53A29"/>
    <w:rsid w:val="00F613EF"/>
    <w:rsid w:val="00F64427"/>
    <w:rsid w:val="00F67A83"/>
    <w:rsid w:val="00F708A5"/>
    <w:rsid w:val="00F7200C"/>
    <w:rsid w:val="00F75384"/>
    <w:rsid w:val="00F90509"/>
    <w:rsid w:val="00FA081C"/>
    <w:rsid w:val="00FA274D"/>
    <w:rsid w:val="00FA7358"/>
    <w:rsid w:val="00FB07C4"/>
    <w:rsid w:val="00FB2119"/>
    <w:rsid w:val="00FC3986"/>
    <w:rsid w:val="00FD27C1"/>
    <w:rsid w:val="00FE08CF"/>
    <w:rsid w:val="00FE10D5"/>
    <w:rsid w:val="00FE6573"/>
    <w:rsid w:val="00FE7070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16D18E"/>
  <w15:chartTrackingRefBased/>
  <w15:docId w15:val="{AC308E19-3EBD-40C6-B1B6-C6C3E8EC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03A6"/>
    <w:pPr>
      <w:spacing w:after="40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293F"/>
    <w:pPr>
      <w:keepNext/>
      <w:keepLines/>
      <w:spacing w:before="240" w:after="0"/>
      <w:outlineLvl w:val="0"/>
    </w:pPr>
    <w:rPr>
      <w:rFonts w:eastAsiaTheme="majorEastAsia" w:cstheme="majorBidi"/>
      <w:b/>
      <w:color w:val="35C000"/>
      <w:sz w:val="2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293F"/>
    <w:pPr>
      <w:keepNext/>
      <w:keepLines/>
      <w:spacing w:before="40" w:after="0"/>
      <w:outlineLvl w:val="1"/>
    </w:pPr>
    <w:rPr>
      <w:rFonts w:eastAsiaTheme="majorEastAsia" w:cstheme="majorBidi"/>
      <w:b/>
      <w:color w:val="35C00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333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293F"/>
    <w:rPr>
      <w:rFonts w:ascii="Arial" w:eastAsiaTheme="majorEastAsia" w:hAnsi="Arial" w:cstheme="majorBidi"/>
      <w:b/>
      <w:color w:val="35C000"/>
      <w:sz w:val="26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B07C4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FB07C4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6741AC"/>
    <w:pPr>
      <w:tabs>
        <w:tab w:val="left" w:pos="440"/>
        <w:tab w:val="right" w:leader="dot" w:pos="6509"/>
      </w:tabs>
      <w:spacing w:after="100"/>
    </w:pPr>
    <w:rPr>
      <w:b/>
      <w:bCs/>
      <w:noProof/>
    </w:rPr>
  </w:style>
  <w:style w:type="character" w:styleId="Hipercze">
    <w:name w:val="Hyperlink"/>
    <w:basedOn w:val="Domylnaczcionkaakapitu"/>
    <w:uiPriority w:val="99"/>
    <w:unhideWhenUsed/>
    <w:rsid w:val="00FB07C4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96D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96D5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296D5F"/>
  </w:style>
  <w:style w:type="character" w:styleId="UyteHipercze">
    <w:name w:val="FollowedHyperlink"/>
    <w:basedOn w:val="Domylnaczcionkaakapitu"/>
    <w:uiPriority w:val="99"/>
    <w:semiHidden/>
    <w:unhideWhenUsed/>
    <w:rsid w:val="0019603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A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804"/>
  </w:style>
  <w:style w:type="paragraph" w:styleId="Stopka">
    <w:name w:val="footer"/>
    <w:basedOn w:val="Normalny"/>
    <w:link w:val="StopkaZnak"/>
    <w:uiPriority w:val="99"/>
    <w:unhideWhenUsed/>
    <w:rsid w:val="007A08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804"/>
  </w:style>
  <w:style w:type="character" w:styleId="Nierozpoznanawzmianka">
    <w:name w:val="Unresolved Mention"/>
    <w:basedOn w:val="Domylnaczcionkaakapitu"/>
    <w:uiPriority w:val="99"/>
    <w:semiHidden/>
    <w:unhideWhenUsed/>
    <w:rsid w:val="00506C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31293F"/>
    <w:rPr>
      <w:rFonts w:ascii="Arial" w:eastAsiaTheme="majorEastAsia" w:hAnsi="Arial" w:cstheme="majorBidi"/>
      <w:b/>
      <w:color w:val="35C000"/>
      <w:sz w:val="20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D4377D"/>
    <w:pPr>
      <w:spacing w:after="100"/>
      <w:ind w:left="200"/>
    </w:pPr>
  </w:style>
  <w:style w:type="paragraph" w:styleId="Spistreci3">
    <w:name w:val="toc 3"/>
    <w:basedOn w:val="Normalny"/>
    <w:next w:val="Normalny"/>
    <w:autoRedefine/>
    <w:uiPriority w:val="39"/>
    <w:unhideWhenUsed/>
    <w:rsid w:val="009F1A4C"/>
    <w:pPr>
      <w:spacing w:after="100"/>
      <w:ind w:left="440"/>
    </w:pPr>
    <w:rPr>
      <w:rFonts w:asciiTheme="minorHAnsi" w:eastAsiaTheme="minorEastAsia" w:hAnsiTheme="minorHAnsi" w:cs="Times New Roman"/>
      <w:sz w:val="22"/>
      <w:lang w:eastAsia="pl-PL"/>
    </w:rPr>
  </w:style>
  <w:style w:type="character" w:customStyle="1" w:styleId="gmaildefault">
    <w:name w:val="gmail_default"/>
    <w:basedOn w:val="Domylnaczcionkaakapitu"/>
    <w:rsid w:val="00750833"/>
  </w:style>
  <w:style w:type="character" w:styleId="Pogrubienie">
    <w:name w:val="Strong"/>
    <w:basedOn w:val="Domylnaczcionkaakapitu"/>
    <w:uiPriority w:val="22"/>
    <w:qFormat/>
    <w:rsid w:val="004F6AF3"/>
    <w:rPr>
      <w:b/>
      <w:bCs/>
    </w:rPr>
  </w:style>
  <w:style w:type="paragraph" w:styleId="NormalnyWeb">
    <w:name w:val="Normal (Web)"/>
    <w:basedOn w:val="Normalny"/>
    <w:uiPriority w:val="99"/>
    <w:unhideWhenUsed/>
    <w:rsid w:val="004F6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33330"/>
    <w:rPr>
      <w:rFonts w:ascii="Arial" w:eastAsiaTheme="majorEastAsia" w:hAnsi="Arial" w:cstheme="majorBidi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3CE3-E12E-4DF8-BF83-CBF2FAA6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1948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Agnieszka Gowin</cp:lastModifiedBy>
  <cp:revision>2</cp:revision>
  <cp:lastPrinted>2022-06-16T22:07:00Z</cp:lastPrinted>
  <dcterms:created xsi:type="dcterms:W3CDTF">2023-04-24T10:33:00Z</dcterms:created>
  <dcterms:modified xsi:type="dcterms:W3CDTF">2023-04-24T10:33:00Z</dcterms:modified>
</cp:coreProperties>
</file>